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ind w:hanging="0" w:left="0" w:right="0"/>
        <w:jc w:val="center"/>
        <w:rPr>
          <w:rFonts w:ascii="Verdana" w:hAnsi="Verdana"/>
          <w:sz w:val="20"/>
          <w:szCs w:val="20"/>
        </w:rPr>
      </w:pPr>
      <w:r>
        <w:rPr>
          <w:rFonts w:ascii="Verdana" w:hAnsi="Verdana"/>
          <w:sz w:val="20"/>
          <w:szCs w:val="20"/>
        </w:rPr>
      </w:r>
    </w:p>
    <w:p>
      <w:pPr>
        <w:pStyle w:val="Normal"/>
        <w:suppressAutoHyphens w:val="false"/>
        <w:spacing w:lineRule="auto" w:line="240"/>
        <w:ind w:hanging="0" w:left="0" w:right="0"/>
        <w:jc w:val="center"/>
        <w:rPr>
          <w:sz w:val="20"/>
          <w:szCs w:val="20"/>
        </w:rPr>
      </w:pPr>
      <w:r>
        <w:rPr>
          <w:rFonts w:ascii="Verdana" w:hAnsi="Verdana"/>
          <w:b/>
          <w:bCs/>
          <w:color w:val="000000"/>
          <w:sz w:val="20"/>
          <w:szCs w:val="20"/>
        </w:rPr>
        <w:t>TERMO DE REFERÊNCIA  - LEI 14.133/21</w:t>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sz w:val="20"/>
          <w:szCs w:val="20"/>
        </w:rPr>
      </w:pPr>
      <w:r>
        <w:rPr>
          <w:rFonts w:eastAsia="Times New Roman" w:cs="Times New Roman" w:ascii="Verdana" w:hAnsi="Verdana"/>
          <w:b/>
          <w:bCs/>
          <w:iCs/>
          <w:color w:val="000000"/>
          <w:sz w:val="20"/>
          <w:szCs w:val="20"/>
        </w:rPr>
        <w:t>AQUISIÇÃO DE GÊNEROS ALIMENTÍCIOS PARA ATENDER AO PROGRAMA NACIONAL DE ALIMENTAÇÃO ESCOLAR</w:t>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sz w:val="20"/>
          <w:szCs w:val="20"/>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008663/</w:t>
      </w:r>
      <w:r>
        <w:rPr>
          <w:rFonts w:cs="Arial" w:ascii="Verdana" w:hAnsi="Verdana"/>
          <w:b/>
          <w:bCs/>
          <w:i w:val="false"/>
          <w:iCs w:val="false"/>
          <w:color w:val="000000"/>
          <w:sz w:val="20"/>
          <w:szCs w:val="20"/>
        </w:rPr>
        <w:t xml:space="preserve">2025 de 03 de dezembro de 2025 (Secretaria Municipal de </w:t>
      </w:r>
      <w:r>
        <w:rPr>
          <w:rFonts w:eastAsia="Times New Roman" w:cs="Arial" w:ascii="Verdana" w:hAnsi="Verdana"/>
          <w:b/>
          <w:bCs/>
          <w:i w:val="false"/>
          <w:iCs w:val="false"/>
          <w:color w:val="000000"/>
          <w:sz w:val="20"/>
          <w:szCs w:val="20"/>
        </w:rPr>
        <w:t>Educação</w:t>
      </w:r>
      <w:r>
        <w:rPr>
          <w:rFonts w:cs="Arial" w:ascii="Verdana" w:hAnsi="Verdana"/>
          <w:b/>
          <w:bCs/>
          <w:i w:val="false"/>
          <w:iCs w:val="false"/>
          <w:color w:val="000000"/>
          <w:sz w:val="20"/>
          <w:szCs w:val="20"/>
        </w:rPr>
        <w:t>)</w:t>
      </w:r>
    </w:p>
    <w:p>
      <w:pPr>
        <w:pStyle w:val="Normal"/>
        <w:spacing w:lineRule="auto" w:line="240"/>
        <w:ind w:hanging="0" w:left="0" w:right="0"/>
        <w:jc w:val="center"/>
        <w:rPr>
          <w:rFonts w:ascii="Verdana" w:hAnsi="Verdana"/>
          <w:sz w:val="20"/>
          <w:szCs w:val="20"/>
        </w:rPr>
      </w:pPr>
      <w:r>
        <w:rPr>
          <w:rFonts w:ascii="Verdana" w:hAnsi="Verdana"/>
          <w:sz w:val="20"/>
          <w:szCs w:val="20"/>
        </w:rPr>
      </w:r>
    </w:p>
    <w:p>
      <w:pPr>
        <w:pStyle w:val="Normal"/>
        <w:spacing w:lineRule="auto" w:line="360"/>
        <w:ind w:hanging="0" w:left="0" w:right="0"/>
        <w:jc w:val="center"/>
        <w:rPr>
          <w:rFonts w:ascii="Verdana" w:hAnsi="Verdana" w:cs="Arial"/>
          <w:b/>
          <w:sz w:val="20"/>
          <w:szCs w:val="20"/>
          <w:u w:val="single"/>
        </w:rPr>
      </w:pPr>
      <w:r>
        <w:rPr>
          <w:rFonts w:cs="Arial" w:ascii="Verdana" w:hAnsi="Verdana"/>
          <w:b/>
          <w:sz w:val="20"/>
          <w:szCs w:val="20"/>
          <w:u w:val="single"/>
        </w:rPr>
      </w:r>
    </w:p>
    <w:p>
      <w:pPr>
        <w:pStyle w:val="Nivel1"/>
        <w:spacing w:lineRule="auto" w:line="360" w:before="0" w:after="0"/>
        <w:ind w:hanging="0" w:left="0" w:right="0"/>
        <w:rPr>
          <w:sz w:val="20"/>
          <w:szCs w:val="20"/>
        </w:rPr>
      </w:pPr>
      <w:r>
        <w:rPr>
          <w:rFonts w:cs="Times New Roman" w:ascii="Verdana" w:hAnsi="Verdana"/>
          <w:bCs/>
          <w:sz w:val="20"/>
          <w:szCs w:val="20"/>
        </w:rPr>
        <w:t>1. DAS CONDIÇÕES GERAIS DA CONTRATAÇÃO</w:t>
      </w:r>
    </w:p>
    <w:p>
      <w:pPr>
        <w:pStyle w:val="Normal"/>
        <w:tabs>
          <w:tab w:val="clear" w:pos="708"/>
          <w:tab w:val="left" w:pos="50" w:leader="none"/>
          <w:tab w:val="left" w:pos="150" w:leader="none"/>
        </w:tabs>
        <w:spacing w:lineRule="auto" w:line="360"/>
        <w:ind w:hanging="0" w:left="57" w:right="0"/>
        <w:jc w:val="both"/>
        <w:rPr>
          <w:sz w:val="20"/>
          <w:szCs w:val="20"/>
        </w:rPr>
      </w:pPr>
      <w:r>
        <w:rPr>
          <w:rFonts w:eastAsia="Times New Roman" w:cs="Arial" w:ascii="Verdana" w:hAnsi="Verdana"/>
          <w:b w:val="false"/>
          <w:bCs w:val="false"/>
          <w:iCs/>
          <w:color w:val="000000"/>
          <w:sz w:val="20"/>
          <w:szCs w:val="20"/>
        </w:rPr>
        <w:t>1.1. Constitui objeto do presente Termo de Referência, a aquisição por meio de licitação, de gêneros alimentícios em atendimento ao Programa Nacional de Alimentação Escolar, devidamente relacionados e especificados na solicitação</w:t>
      </w:r>
      <w:r>
        <w:rPr>
          <w:rFonts w:eastAsia="Times New Roman" w:cs="Arial" w:ascii="Verdana" w:hAnsi="Verdana"/>
          <w:iCs/>
          <w:color w:val="000000"/>
          <w:sz w:val="20"/>
          <w:szCs w:val="20"/>
        </w:rPr>
        <w:t xml:space="preserve"> de compras nº 0264</w:t>
      </w:r>
      <w:r>
        <w:rPr>
          <w:rFonts w:eastAsia="Times New Roman" w:cs="Arial" w:ascii="Verdana" w:hAnsi="Verdana"/>
          <w:iCs/>
          <w:color w:val="000000"/>
          <w:sz w:val="20"/>
          <w:szCs w:val="20"/>
          <w:shd w:fill="auto" w:val="clear"/>
        </w:rPr>
        <w:t>/2025 e</w:t>
      </w:r>
      <w:r>
        <w:rPr>
          <w:rFonts w:eastAsia="Times New Roman" w:cs="Arial" w:ascii="Verdana" w:hAnsi="Verdana"/>
          <w:iCs/>
          <w:color w:val="000000"/>
          <w:sz w:val="20"/>
          <w:szCs w:val="20"/>
        </w:rPr>
        <w:t xml:space="preserve"> cronogramas em anexo no Estudo Técnico Preliminar e neste Termo de Referência, nos autos que já são partes integrantes desse processo.</w:t>
      </w:r>
    </w:p>
    <w:p>
      <w:pPr>
        <w:pStyle w:val="Normal"/>
        <w:tabs>
          <w:tab w:val="clear" w:pos="708"/>
          <w:tab w:val="left" w:pos="50" w:leader="none"/>
          <w:tab w:val="left" w:pos="150" w:leader="none"/>
        </w:tabs>
        <w:spacing w:lineRule="auto" w:line="360"/>
        <w:ind w:hanging="0" w:left="57" w:right="0"/>
        <w:jc w:val="both"/>
        <w:rPr>
          <w:rFonts w:ascii="Verdana" w:hAnsi="Verdana" w:cs="Arial"/>
          <w:b/>
          <w:sz w:val="20"/>
          <w:szCs w:val="20"/>
          <w:u w:val="single"/>
        </w:rPr>
      </w:pPr>
      <w:r>
        <w:rPr>
          <w:rFonts w:cs="Arial" w:ascii="Verdana" w:hAnsi="Verdana"/>
          <w:b/>
          <w:sz w:val="20"/>
          <w:szCs w:val="20"/>
          <w:u w:val="single"/>
        </w:rPr>
      </w:r>
    </w:p>
    <w:tbl>
      <w:tblPr>
        <w:tblW w:w="9520" w:type="dxa"/>
        <w:jc w:val="left"/>
        <w:tblInd w:w="70" w:type="dxa"/>
        <w:tblLayout w:type="fixed"/>
        <w:tblCellMar>
          <w:top w:w="0" w:type="dxa"/>
          <w:left w:w="70" w:type="dxa"/>
          <w:bottom w:w="0" w:type="dxa"/>
          <w:right w:w="70" w:type="dxa"/>
        </w:tblCellMar>
      </w:tblPr>
      <w:tblGrid>
        <w:gridCol w:w="744"/>
        <w:gridCol w:w="4295"/>
        <w:gridCol w:w="1361"/>
        <w:gridCol w:w="1359"/>
        <w:gridCol w:w="1761"/>
      </w:tblGrid>
      <w:tr>
        <w:trPr>
          <w:trHeight w:val="91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b/>
                <w:color w:val="000000"/>
                <w:sz w:val="20"/>
                <w:szCs w:val="20"/>
              </w:rPr>
              <w:t>Item</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b/>
                <w:bCs/>
                <w:color w:val="000000"/>
                <w:sz w:val="20"/>
                <w:szCs w:val="20"/>
              </w:rPr>
              <w:t>Descrição</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b/>
                <w:bCs/>
                <w:color w:val="000000"/>
                <w:sz w:val="20"/>
                <w:szCs w:val="20"/>
              </w:rPr>
              <w:t>Quant.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ind w:hanging="80" w:left="80"/>
              <w:jc w:val="center"/>
              <w:rPr>
                <w:sz w:val="20"/>
                <w:szCs w:val="20"/>
              </w:rPr>
            </w:pPr>
            <w:r>
              <w:rPr>
                <w:rFonts w:cs="Arial" w:ascii="Verdana" w:hAnsi="Verdana"/>
                <w:b/>
                <w:color w:val="000000"/>
                <w:sz w:val="20"/>
                <w:szCs w:val="20"/>
              </w:rPr>
              <w:t>Preço unitário estimativo</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b/>
                <w:color w:val="000000"/>
                <w:sz w:val="20"/>
                <w:szCs w:val="20"/>
              </w:rPr>
              <w:t>Preço total estimado</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01</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OVOS DE GALINHA - TIPO: BRANCO EXTRA; CLASSE A; FRESCOS DE CASCA POROSA, FOSCA, SECA E LIMPA, ÍNTEGRO, SEM MANCHAS E RACHADURAS; VALIDADE: MÍNIMO DE 15 DIAS A PARTIR DA DATA DE ENTREGA; LEGISLAÇÃO: CONFORME RESOLUÇÃO DO MINISTÉRIO DA AGRICULTURA Nº 1 DE 05/07/1991; ACONDICIONAMENTO: BANDEJA DE PAPELÃO; UNIDADE DE FORNECIMENTO: PENTE 30 UND.</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sz w:val="20"/>
                <w:szCs w:val="20"/>
              </w:rPr>
              <w:t>1.475 Cart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R$ 16,85</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R$ 24.853,75</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02</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CEBOLA - COR: BRANCA; APRESENTAÇÃO: IN NATURA; GRAU DE EVOLUÇÃO: BEM DESENVOLVIDA; QUALIDADE: DE 1ª QUALIDADE; CARACTERÍSTICAS FÍSICAS: TAMANHO, COLORAÇÃO UNIFORME, FIRME E INTACTO; ASPECTO: COR, CHEIRO E SABOR PRÓPRIO; HIGIÊNICO SANITÁRIAS: ISENTOS DE SUJIDADES, PARASITAS E LARVAS; DANIFICAÇÃO: SEM DANOS FÍSICOS ORIUNDOS DO MANUSEIO E TRANSPORTE; LEGISLAÇÃO: CONFORME PORTARIA CVS 06/99, DE 10/03/1999, CONFORME RESOLUÇÃO RDC272, DE 22/09/2005, DA ANVISA E SUAS ALTERAÇÕES POSTERIORES; ACONDICIONAMENTO: EMBALAGEM PLÁSTICA ATÓXICA COM ATÉ 2KG.</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1.450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R$ 3,32</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R$ 4.814,00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03</w:t>
            </w:r>
          </w:p>
          <w:p>
            <w:pPr>
              <w:pStyle w:val="Normal"/>
              <w:spacing w:lineRule="auto" w:line="276"/>
              <w:jc w:val="center"/>
              <w:rPr>
                <w:rFonts w:ascii="Verdana" w:hAnsi="Verdana" w:cs="Arial"/>
                <w:color w:val="000000"/>
                <w:sz w:val="20"/>
                <w:szCs w:val="20"/>
                <w:shd w:fill="FFFF00" w:val="clear"/>
              </w:rPr>
            </w:pPr>
            <w:r>
              <w:rPr>
                <w:rFonts w:cs="Arial" w:ascii="Verdana" w:hAnsi="Verdana"/>
                <w:color w:val="000000"/>
                <w:sz w:val="20"/>
                <w:szCs w:val="20"/>
                <w:shd w:fill="FFFF00" w:val="clear"/>
              </w:rPr>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BATATA INGLESA VARIEDADE: INGLESA; COR DA CASCA: AMARELA-CLARA; COR DA POLPA: AMARELA-CLARA; MATURAÇÃO: SEMIPRECOCE A SEMITARDIA; LAVADA; TAMANHO MÉDIO A GRANDE; DE 1ª QUALIDADE; CARACTERÍSTICAS FÍSICAS: COLORAÇÃO UNIFORME, FIRME E INTACTO; HIGIÊNICO SANITÁRIAS: ISENTOS DE SUJIDADES, PARASITAS E LARVAS; DANIFICAÇÃO: SEM DANOS FÍSICOS ORIUNDOS DO MANUSEIO E TRANSPORTE; LEGISLAÇÃO: CONFORME RESOLUÇÃO RDC 272, DE 22/09/2005, DA ANVISA E SUAS ALTERAÇÕES POSTERIORES; ACONDICIONAMENTO: SACO VAZADO; UNIDADE DE FORNECIMENTO:  ATÉ 4KG</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1.506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R$ 3,58</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R$ 5.391,48</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04</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ALHO - TIPO: EXTRA, BRANCO OU ROXO; GRAU DE EVOLUÇÃO: BEM DESENVOLVIDO; QUALIDADE: DE 1ª QUALIDADE; CARACTERÍSTICAS FÍSICAS: TAMANHO, COLORAÇÃO UNIFORME, FIRME, CASCA SÃ, SEM RÉSTIA, BULBO INTERIÇO; ASPECTO: COR, CHEIRO E SABOR PRÓPRIO; HIGIÊNICO SANITÁRIAS: ISENTOS DE SUJIDADES, PARASITAS E LARVAS;   UNIDADE DE FORNECIMENTO: EMBALAGEM PLÁSTICA ATÓXICA COM ATÉ 2KG.</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1.186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R$ 26,34</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R$ 31.239,24</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05</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CARNE DE FRANGO (FILÉ DE PEITO), SEM PELE E SEM OSSO, SEM TEMPERO, NÃO AMOLECIDA NEM PEGAJOSA, CONGELADA A -12°C; COM ASPECTO, ODOR E SABOR CARACTERÍSTICOS; ACONDICIONADA EM BANDEJAS DE ISOPOR E SACO PLÁSTICO ATÓXICO E RESISTENTE, PESANDO 1KG. CONSTANDO OBRIGATORIAMENTE REGISTRO NO SIF/DIPOA E TODAS AS INFORMAÇÕES DE ROTULAGEM; DATA DE FABRICAÇÃO E VALIDADE;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7.510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R$ 22,50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R$ 168.975,00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06</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CARNE BOVINA DE PRIMEIRA (PATINHO), LIMPA, CONTENDO EM TORNO DE 4 A 5% NO MÁXIMO DE GORDURA; SEM APONEVROSE; CONSERVAÇÃO: CONGELADA (-12°C); ASPECTO: COR, CHEIRO E SABOR PRÓPRIO; HIGIÊNICO SANITÁRIA: ISENTOS DE SUJIDADES, PARASITAS E LARVAS; LEGISLAÇÃO: CONFORME LEI 6.925, DE 17/12/2001; CONTENDO REGISTRO DE INSPEÇÃO; UNIDADE DE FORNECIMENTO: PACOTE DE 1  A 2 KG.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4.375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 xml:space="preserve"> </w:t>
            </w:r>
            <w:r>
              <w:rPr>
                <w:rFonts w:cs="Arial" w:ascii="Verdana" w:hAnsi="Verdana"/>
                <w:color w:val="000000"/>
                <w:sz w:val="20"/>
                <w:szCs w:val="20"/>
              </w:rPr>
              <w:t>R$ 37,07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R$ 162.181,25</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07</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 xml:space="preserve">CARNE BOVINA MOÍDA - ACÉM BOVINO </w:t>
            </w:r>
            <w:r>
              <w:rPr>
                <w:rFonts w:eastAsia="Arial" w:cs="Arial" w:ascii="Verdana" w:hAnsi="Verdana"/>
                <w:sz w:val="20"/>
                <w:szCs w:val="20"/>
              </w:rPr>
              <w:t>MOÍDO</w:t>
            </w:r>
            <w:r>
              <w:rPr>
                <w:rFonts w:eastAsia="Arial" w:cs="Arial" w:ascii="Verdana" w:hAnsi="Verdana"/>
                <w:color w:val="000000"/>
                <w:sz w:val="20"/>
                <w:szCs w:val="20"/>
              </w:rPr>
              <w:t>, LIMPO, MAGRO (</w:t>
            </w:r>
            <w:r>
              <w:rPr>
                <w:rFonts w:eastAsia="Arial" w:cs="Arial" w:ascii="Verdana" w:hAnsi="Verdana"/>
                <w:sz w:val="20"/>
                <w:szCs w:val="20"/>
              </w:rPr>
              <w:t>MÁXIMO</w:t>
            </w:r>
            <w:r>
              <w:rPr>
                <w:rFonts w:eastAsia="Arial" w:cs="Arial" w:ascii="Verdana" w:hAnsi="Verdana"/>
                <w:color w:val="000000"/>
                <w:sz w:val="20"/>
                <w:szCs w:val="20"/>
              </w:rPr>
              <w:t xml:space="preserve"> DE 10% DE GORDURA), SEM OSSO, CONGELADO, COM COR, SABOR E ODOR CARACTERÍSTICOS DO PRODUTO DE BOA QUALIDADE, AUSÊNCIA DE SEBOS, ACONDICIONADO EM EMBALAGENS TRANSPARENTE E RESISTENTE, COM DENOMINAÇÃO DO NOME DO PRODUTO, FABRICANTE, ENDEREÇO, REGISTRO NO MINISTÉRIO DA AGRICULTURA (SIF, IMA OU SIM), DATA DE FABRICAÇÃO E VALIDADE.  UNIDADE DE FORNECIMENTO: PACOTE DE 1KG.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6.100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R$ 25,96</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R$ 158.356,00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08</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 xml:space="preserve">POLPA DE FRUTA NATURAL, SABOR: MANGA, CONGELADA A - 18ºC. ISENTA DE CONTAMINAÇÃO COM </w:t>
            </w:r>
            <w:r>
              <w:rPr>
                <w:rFonts w:eastAsia="Arial" w:cs="Arial" w:ascii="Verdana" w:hAnsi="Verdana"/>
                <w:sz w:val="20"/>
                <w:szCs w:val="20"/>
              </w:rPr>
              <w:t>SUBSTÂNCIAS</w:t>
            </w:r>
            <w:r>
              <w:rPr>
                <w:rFonts w:eastAsia="Arial" w:cs="Arial" w:ascii="Verdana" w:hAnsi="Verdana"/>
                <w:color w:val="000000"/>
                <w:sz w:val="20"/>
                <w:szCs w:val="20"/>
              </w:rPr>
              <w:t xml:space="preserve"> ESTRANHAS A SUA COMPOSIÇÃO NORMAL, SEM FRAGMENTOS DAS PARTES NÃO </w:t>
            </w:r>
            <w:r>
              <w:rPr>
                <w:rFonts w:eastAsia="Arial" w:cs="Arial" w:ascii="Verdana" w:hAnsi="Verdana"/>
                <w:sz w:val="20"/>
                <w:szCs w:val="20"/>
              </w:rPr>
              <w:t>COMESTÍVEIS</w:t>
            </w:r>
            <w:r>
              <w:rPr>
                <w:rFonts w:eastAsia="Arial" w:cs="Arial" w:ascii="Verdana" w:hAnsi="Verdana"/>
                <w:color w:val="000000"/>
                <w:sz w:val="20"/>
                <w:szCs w:val="20"/>
              </w:rPr>
              <w:t xml:space="preserve">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ENTREGA.1530</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1.866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R$ 1,67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R$ 19.910,22</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09</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both"/>
              <w:rPr>
                <w:sz w:val="20"/>
                <w:szCs w:val="20"/>
              </w:rPr>
            </w:pPr>
            <w:r>
              <w:rPr>
                <w:rFonts w:eastAsia="Arial" w:cs="Arial" w:ascii="Verdana" w:hAnsi="Verdana"/>
                <w:color w:val="000000"/>
                <w:sz w:val="20"/>
                <w:szCs w:val="20"/>
              </w:rPr>
              <w:t xml:space="preserve">POLPA DE FRUTA NATURAL, SABOR: GOIABA, CONGELADA A - 18ºC. ISENTA DE CONTAMINAÇÃO COM SUBSTANCIAS ESTRANHAS A SUA COMPOSIÇÃO NORMAL, SEM FRAGMENTOS DAS PARTES NÃO </w:t>
            </w:r>
            <w:r>
              <w:rPr>
                <w:rFonts w:eastAsia="Arial" w:cs="Arial" w:ascii="Verdana" w:hAnsi="Verdana"/>
                <w:sz w:val="20"/>
                <w:szCs w:val="20"/>
              </w:rPr>
              <w:t>COMESTÍVEIS</w:t>
            </w:r>
            <w:r>
              <w:rPr>
                <w:rFonts w:eastAsia="Arial" w:cs="Arial" w:ascii="Verdana" w:hAnsi="Verdana"/>
                <w:color w:val="000000"/>
                <w:sz w:val="20"/>
                <w:szCs w:val="20"/>
              </w:rPr>
              <w:t xml:space="preserve">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76"/>
              <w:jc w:val="center"/>
              <w:rPr>
                <w:sz w:val="20"/>
                <w:szCs w:val="20"/>
              </w:rPr>
            </w:pPr>
            <w:r>
              <w:rPr>
                <w:rFonts w:eastAsia="Arial" w:cs="Arial" w:ascii="Verdana" w:hAnsi="Verdana"/>
                <w:color w:val="000000"/>
                <w:sz w:val="20"/>
                <w:szCs w:val="20"/>
              </w:rPr>
              <w:t>1.872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R$ 10,14</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76"/>
              <w:jc w:val="center"/>
              <w:rPr>
                <w:sz w:val="20"/>
                <w:szCs w:val="20"/>
              </w:rPr>
            </w:pPr>
            <w:r>
              <w:rPr>
                <w:rFonts w:cs="Arial" w:ascii="Verdana" w:hAnsi="Verdana"/>
                <w:color w:val="000000"/>
                <w:sz w:val="20"/>
                <w:szCs w:val="20"/>
              </w:rPr>
              <w:t>R$ 18.982,08</w:t>
            </w:r>
          </w:p>
        </w:tc>
      </w:tr>
      <w:tr>
        <w:trPr>
          <w:trHeight w:val="8611"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10</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REQUEIJÃO CREMOSO DE BOA QUALIDADE, ISENTO DE RANÇO E OUTRAS CARACTERÍSTICAS INDESEJAVEIS; TEXTURA CREMOSA, COR, CHEIRO E SABOR CARACTERÍSTICOS. O PRODUTO DEVE SER CLASSIFICADO COMO PROCESSADO E NÃO ULTRAPROCESSADO; NÃO DEVE CONTER MAIS DE 165MG DE SÓDIO POR PORÇÃO. O PRODUTO DEVERÁ ESTAR DE ACORDO COM A PORTARIA Nº359 DE 04/09/1997 DO MAPA E RESOLUÇÃO FNDE Nº 26 DE 17/06/13. CONSTANDO OBRIGATORIAMENTE REGISTRO NO SIF/DIPOA. DEVERÁ SER TRANSPORTADO E ENTREGUE À TEMPERATURA ENTRE 04 E 10°C. EMBALAGEM PRIMÁRIA: COPO PLÁSTICO DE POLIPROPILENO, ATÓXICO, COM LACRE DE PROTEÇÃO DE ALUMÍNIO, CONTENDO NO MÍNIMO 400 GRAMAS.  VALIDADE MÍNIMA DE 3 MESES APÓS A ENTREGA. LEITE PARCIALMENTE DESNATADO, CREME DE LEITE  PASTEURIZADO, AMIDO MODIFICADO E PROTEÍNAS LÁCTEAS, CLORETO DE SÓDIO (SAL), FERMENTO LÁCTEO, ESTABILIZANTE CITRATO DE SÓDIO  E FOSFATO DE SÓDIO E CONSERVANTE SORBATO DE POTÁSSIO.</w:t>
            </w:r>
          </w:p>
          <w:p>
            <w:pPr>
              <w:pStyle w:val="normal2"/>
              <w:jc w:val="both"/>
              <w:rPr>
                <w:rFonts w:ascii="Verdana" w:hAnsi="Verdana" w:eastAsia="Arial" w:cs="Arial"/>
                <w:color w:val="000000"/>
                <w:sz w:val="20"/>
                <w:szCs w:val="20"/>
              </w:rPr>
            </w:pPr>
            <w:r>
              <w:rPr>
                <w:rFonts w:eastAsia="Arial" w:cs="Arial" w:ascii="Verdana" w:hAnsi="Verdana"/>
                <w:color w:val="000000"/>
                <w:sz w:val="20"/>
                <w:szCs w:val="20"/>
              </w:rPr>
            </w:r>
          </w:p>
          <w:p>
            <w:pPr>
              <w:pStyle w:val="normal2"/>
              <w:jc w:val="both"/>
              <w:rPr>
                <w:sz w:val="20"/>
                <w:szCs w:val="20"/>
              </w:rPr>
            </w:pPr>
            <w:r>
              <w:rPr>
                <w:rFonts w:eastAsia="Arial" w:cs="Arial" w:ascii="Verdana" w:hAnsi="Verdana"/>
                <w:color w:val="000000"/>
                <w:sz w:val="20"/>
                <w:szCs w:val="20"/>
              </w:rPr>
              <w:t xml:space="preserve">MARCAS PARA </w:t>
            </w:r>
            <w:r>
              <w:rPr>
                <w:rFonts w:eastAsia="Arial" w:cs="Arial" w:ascii="Verdana" w:hAnsi="Verdana"/>
                <w:sz w:val="20"/>
                <w:szCs w:val="20"/>
              </w:rPr>
              <w:t>REFERÊNCIA</w:t>
            </w:r>
            <w:r>
              <w:rPr>
                <w:rFonts w:eastAsia="Arial" w:cs="Arial" w:ascii="Verdana" w:hAnsi="Verdana"/>
                <w:color w:val="000000"/>
                <w:sz w:val="20"/>
                <w:szCs w:val="20"/>
              </w:rPr>
              <w:t xml:space="preserve"> DE QUALIDADE: DAMARE, PORTO ALEGRE, VIGOR OU SIMILARES.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1.624 Potes</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R$ 13,27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R$ 21.550,48</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11</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LEITE EM PÓ SEM LACTOSE, COMPOSTO POR: LEITE INTEGRAL, ENZIMA LACTASE, VITAMINAS A, C E D. EMULSIFICANTE LECITINA DE SOJA, ISENTO DE MALTODEXTRINA PARA DIETAS COM RESTRIÇÃO A LACTOSE, EMBALAGEM: PACOTE COM 300G, VALIDADE DE 06 MESES APÓS A DATA DE ENTREGA.</w:t>
            </w:r>
          </w:p>
          <w:p>
            <w:pPr>
              <w:pStyle w:val="normal2"/>
              <w:jc w:val="both"/>
              <w:rPr>
                <w:rFonts w:ascii="Verdana" w:hAnsi="Verdana" w:eastAsia="Arial" w:cs="Arial"/>
                <w:color w:val="000000"/>
                <w:sz w:val="20"/>
                <w:szCs w:val="20"/>
              </w:rPr>
            </w:pPr>
            <w:r>
              <w:rPr>
                <w:rFonts w:eastAsia="Arial" w:cs="Arial" w:ascii="Verdana" w:hAnsi="Verdana"/>
                <w:color w:val="000000"/>
                <w:sz w:val="20"/>
                <w:szCs w:val="20"/>
              </w:rPr>
            </w:r>
          </w:p>
          <w:p>
            <w:pPr>
              <w:pStyle w:val="normal2"/>
              <w:jc w:val="both"/>
              <w:rPr>
                <w:sz w:val="20"/>
                <w:szCs w:val="20"/>
              </w:rPr>
            </w:pPr>
            <w:r>
              <w:rPr>
                <w:rFonts w:eastAsia="Arial" w:cs="Arial" w:ascii="Verdana" w:hAnsi="Verdana"/>
                <w:color w:val="000000"/>
                <w:sz w:val="20"/>
                <w:szCs w:val="20"/>
              </w:rPr>
              <w:t xml:space="preserve">MARCAS PARA </w:t>
            </w:r>
            <w:r>
              <w:rPr>
                <w:rFonts w:eastAsia="Arial" w:cs="Arial" w:ascii="Verdana" w:hAnsi="Verdana"/>
                <w:sz w:val="20"/>
                <w:szCs w:val="20"/>
              </w:rPr>
              <w:t>REFERÊNCIA</w:t>
            </w:r>
            <w:r>
              <w:rPr>
                <w:rFonts w:eastAsia="Arial" w:cs="Arial" w:ascii="Verdana" w:hAnsi="Verdana"/>
                <w:color w:val="000000"/>
                <w:sz w:val="20"/>
                <w:szCs w:val="20"/>
              </w:rPr>
              <w:t xml:space="preserve"> DE QUALIDADE:  ITAMBÉ, CAMPONESA, DANBY, PIRACANJUBA OU SIMILARES.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90 Uni</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R$ 25,63</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R$ 2.306,70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12</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LEITE DE SOJA SEM LACTOSE COMPOSIÇÃO:</w:t>
            </w:r>
          </w:p>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EMBALAGEM: LATA DE 300G.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90 </w:t>
            </w:r>
            <w:r>
              <w:rPr>
                <w:rFonts w:eastAsia="Arial" w:cs="Arial" w:ascii="Verdana" w:hAnsi="Verdana"/>
                <w:color w:val="000000"/>
                <w:sz w:val="20"/>
                <w:szCs w:val="20"/>
              </w:rPr>
              <w:t>Lata</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R$ 21,453</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R$ 1.937,70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13</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LEITE EM PÓ INTEGRAL </w:t>
            </w:r>
            <w:r>
              <w:rPr>
                <w:rFonts w:eastAsia="Arial" w:cs="Arial" w:ascii="Verdana" w:hAnsi="Verdana"/>
                <w:sz w:val="20"/>
                <w:szCs w:val="20"/>
              </w:rPr>
              <w:t>INSTANTÂNEO</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DE ÓTIMA QUALIDADE; SEM </w:t>
            </w:r>
            <w:r>
              <w:rPr>
                <w:rFonts w:eastAsia="Arial" w:cs="Arial" w:ascii="Verdana" w:hAnsi="Verdana"/>
                <w:sz w:val="20"/>
                <w:szCs w:val="20"/>
              </w:rPr>
              <w:t>AÇÚCAR</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INGREDIENTES: LEITE INTEGRAL EM PÓ E LECITINA DE SOJA; CHEIRO, SABOR E TEXTURA CARACTERÍSTICOS AGRADÁVEIS. EM ACORDO COM AS ESPECIFICAÇÕES </w:t>
            </w:r>
            <w:r>
              <w:rPr>
                <w:rFonts w:eastAsia="Arial" w:cs="Arial" w:ascii="Verdana" w:hAnsi="Verdana"/>
                <w:sz w:val="20"/>
                <w:szCs w:val="20"/>
              </w:rPr>
              <w:t>TÉCNICAS</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DA PORTARIA 369/1997 DO MAPA. EMBALAGEM DE 400G, </w:t>
            </w:r>
            <w:r>
              <w:rPr>
                <w:rFonts w:eastAsia="Arial" w:cs="Arial" w:ascii="Verdana" w:hAnsi="Verdana"/>
                <w:sz w:val="20"/>
                <w:szCs w:val="20"/>
              </w:rPr>
              <w:t>ATÓXICA</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RESISTENTE, NÃO VIOLADA ORIGINAL DO FABRICANTE. VALIDADE MÍNIMA DE 8 MESES APÓS A ENTREGA.</w:t>
            </w:r>
          </w:p>
          <w:p>
            <w:pPr>
              <w:pStyle w:val="normal2"/>
              <w:keepNext w:val="false"/>
              <w:keepLines w:val="false"/>
              <w:widowControl w:val="false"/>
              <w:shd w:val="clear" w:fill="auto"/>
              <w:spacing w:lineRule="auto" w:line="240" w:before="0" w:after="0"/>
              <w:ind w:hanging="0" w:left="0" w:right="0"/>
              <w:jc w:val="both"/>
              <w:rPr>
                <w:rFonts w:ascii="Verdana" w:hAnsi="Verdana"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r>
          </w:p>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MARCAS PARA </w:t>
            </w:r>
            <w:r>
              <w:rPr>
                <w:rFonts w:eastAsia="Arial" w:cs="Arial" w:ascii="Verdana" w:hAnsi="Verdana"/>
                <w:sz w:val="20"/>
                <w:szCs w:val="20"/>
              </w:rPr>
              <w:t>REFERÊNCIA</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DE QUALIDADE: CAMPONESA, ITAMBÉ, PIRACANJUBA OU SIMILAR.</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2.700 </w:t>
            </w:r>
            <w:r>
              <w:rPr>
                <w:rFonts w:eastAsia="Arial" w:cs="Arial" w:ascii="Verdana" w:hAnsi="Verdana"/>
                <w:color w:val="000000"/>
                <w:sz w:val="20"/>
                <w:szCs w:val="20"/>
              </w:rPr>
              <w:t>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R$ 16,14</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R$ 43.578,00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14</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CANJIQUINHA DE MILHO, FINO A MÉDIO, SUBPRODUTO DO GRÃO DE MILHO, ISENTO DE UMIDADE E FRAGMENTOS ESTRANHOS, EM EMBALAGEM DE POLIETILENO TRANSPARENTE ORIGINAL DO FABRICANTE EM PCT DE ATÉ 01KG. VALIDADE MÍNIMA DE 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1.000 </w:t>
            </w:r>
            <w:r>
              <w:rPr>
                <w:rFonts w:eastAsia="Arial" w:cs="Arial" w:ascii="Verdana" w:hAnsi="Verdana"/>
                <w:color w:val="000000"/>
                <w:sz w:val="20"/>
                <w:szCs w:val="20"/>
              </w:rPr>
              <w:t>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R$ 3,91</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R$ 3.910,00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15</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FERMENTO QUÍMICO EM PÓ ASPECTO, COR, CHEIRO E SABOR PRÓPRIOS. O PRODUTO </w:t>
            </w:r>
            <w:r>
              <w:rPr>
                <w:rFonts w:eastAsia="Arial" w:cs="Arial" w:ascii="Verdana" w:hAnsi="Verdana"/>
                <w:sz w:val="20"/>
                <w:szCs w:val="20"/>
              </w:rPr>
              <w:t>DEVERÁ</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ESTAR EM CONFORMIDADE COM AS LEIS ESPECIFICAS VIGENTES. INGREDIENTES: AMIDO DE MILHO GENETICAMENTE MODIFICADO (</w:t>
            </w:r>
            <w:r>
              <w:rPr>
                <w:rFonts w:eastAsia="Arial" w:cs="Arial" w:ascii="Verdana" w:hAnsi="Verdana"/>
                <w:sz w:val="20"/>
                <w:szCs w:val="20"/>
              </w:rPr>
              <w:t>ESPÉCIES</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DOADORAS: AGROBACTERIUM TUMEFACIENS, BACILLUS THURINGIENSIS, SPHINGOBIUM HERBICIDOROVANS, STREPTOMYCES VIRIDOCHROMOGENES E ZEA MAYS), BICARBONATO DE SÓDIO, FOSFATO MONOCALCICO E CARBONATO DE </w:t>
            </w:r>
            <w:r>
              <w:rPr>
                <w:rFonts w:eastAsia="Arial" w:cs="Arial" w:ascii="Verdana" w:hAnsi="Verdana"/>
                <w:sz w:val="20"/>
                <w:szCs w:val="20"/>
              </w:rPr>
              <w:t>CÁLCIO</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A ROTULAGEM DEVE CONTER NO MÍNIMO AS SEGUINTES INFORMAÇÕES: NOME E/OU MARCA, INGREDIENTES, DATA DE VALIDADE, LOTE. COM REGISTRO NO MINISTÉRIO DA AGRICULTURA – SIF. PARA MELHOR SEGURANÇA E CONSERVAÇÃO, ABAIXO DA TAMPA DA EMBALAGEM DEVE TER O LACRE E PROTEÇÃO DE PAPEL E </w:t>
            </w:r>
            <w:r>
              <w:rPr>
                <w:rFonts w:eastAsia="Arial" w:cs="Arial" w:ascii="Verdana" w:hAnsi="Verdana"/>
                <w:sz w:val="20"/>
                <w:szCs w:val="20"/>
              </w:rPr>
              <w:t>ALUMÍNIO</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ACONDICIONADO EM EMBALAGEM DE 250G.  VALIDADE: MÍNIMO DE 6 MESES A PARTIR DA DATA DE ENTREGA.</w:t>
            </w:r>
          </w:p>
          <w:p>
            <w:pPr>
              <w:pStyle w:val="normal2"/>
              <w:keepNext w:val="false"/>
              <w:keepLines w:val="false"/>
              <w:widowControl w:val="false"/>
              <w:shd w:val="clear" w:fill="auto"/>
              <w:spacing w:lineRule="auto" w:line="240" w:before="0" w:after="0"/>
              <w:ind w:hanging="0" w:left="0" w:right="0"/>
              <w:jc w:val="both"/>
              <w:rPr>
                <w:rFonts w:ascii="Verdana" w:hAnsi="Verdana"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r>
          </w:p>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MARCAS PARA </w:t>
            </w:r>
            <w:r>
              <w:rPr>
                <w:rFonts w:eastAsia="Arial" w:cs="Arial" w:ascii="Verdana" w:hAnsi="Verdana"/>
                <w:sz w:val="20"/>
                <w:szCs w:val="20"/>
              </w:rPr>
              <w:t>REFERÊNCIA</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DE QUALIDADE: ROYAL, FREISCHMAN E OU SIMILARES.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300 </w:t>
            </w:r>
            <w:r>
              <w:rPr>
                <w:rFonts w:eastAsia="Arial" w:cs="Arial" w:ascii="Verdana" w:hAnsi="Verdana"/>
                <w:color w:val="000000"/>
                <w:sz w:val="20"/>
                <w:szCs w:val="20"/>
              </w:rPr>
              <w:t>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R$ 10,57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R$ 3.171,00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16</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FERMENTO BIOLÓGICO SECO, </w:t>
            </w:r>
            <w:r>
              <w:rPr>
                <w:rFonts w:eastAsia="Arial" w:cs="Arial" w:ascii="Verdana" w:hAnsi="Verdana"/>
                <w:sz w:val="20"/>
                <w:szCs w:val="20"/>
              </w:rPr>
              <w:t>INSTANTÂNEO</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OBTIDO DE CULTURAS PURAS DE LEVEDURA SACCHAROMYCES CEREVISIAS, ISENTO DE </w:t>
            </w:r>
            <w:r>
              <w:rPr>
                <w:rFonts w:eastAsia="Arial" w:cs="Arial" w:ascii="Verdana" w:hAnsi="Verdana"/>
                <w:sz w:val="20"/>
                <w:szCs w:val="20"/>
              </w:rPr>
              <w:t>SUBSTÂNCIAS</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ESTRANHAS À COMPOSIÇÃO; CARACTERÍSTICAS ORGANOLETICAS: ASPECTO – PRÓPRIO; COR - PRÓPRIA; CHEIRO – PRÓPRIO; SABOR - PRÓPRIO. O PRODUTO </w:t>
            </w:r>
            <w:r>
              <w:rPr>
                <w:rFonts w:eastAsia="Arial" w:cs="Arial" w:ascii="Verdana" w:hAnsi="Verdana"/>
                <w:sz w:val="20"/>
                <w:szCs w:val="20"/>
              </w:rPr>
              <w:t>DEVERÁ</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ESTAR EM CONFORMIDADE COM AS LEIS ESPECIFICAS VIGENTES. ACONDICIONADO EM EMBALAGEM DE 500G. VALIDADE MÍNIMA DE 6 MESES APÓS A ENTREGA.</w:t>
            </w:r>
          </w:p>
          <w:p>
            <w:pPr>
              <w:pStyle w:val="normal2"/>
              <w:keepNext w:val="false"/>
              <w:keepLines w:val="false"/>
              <w:widowControl w:val="false"/>
              <w:shd w:val="clear" w:fill="auto"/>
              <w:spacing w:lineRule="auto" w:line="240" w:before="0" w:after="0"/>
              <w:ind w:hanging="0" w:left="0" w:right="0"/>
              <w:jc w:val="both"/>
              <w:rPr>
                <w:rFonts w:ascii="Verdana" w:hAnsi="Verdana"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r>
          </w:p>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MARCAS PARA </w:t>
            </w:r>
            <w:r>
              <w:rPr>
                <w:rFonts w:eastAsia="Arial" w:cs="Arial" w:ascii="Verdana" w:hAnsi="Verdana"/>
                <w:sz w:val="20"/>
                <w:szCs w:val="20"/>
              </w:rPr>
              <w:t>REFERÊNCIA</w:t>
            </w: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 xml:space="preserve"> DE QUALIDADE: FREISCHMAN, MAURI E DONA BENTA E OU SIMILARES.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120 </w:t>
            </w:r>
            <w:r>
              <w:rPr>
                <w:rFonts w:eastAsia="Arial" w:cs="Arial" w:ascii="Verdana" w:hAnsi="Verdana"/>
                <w:color w:val="000000"/>
                <w:sz w:val="20"/>
                <w:szCs w:val="20"/>
              </w:rPr>
              <w:t>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R$ 17,95</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R$ 2.154,00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17</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MACARRÃO TIPO: ESPAGUETE; COM SÊMOLA; ISENTO FRAGMENTOS ESTRANHOS, LIVRE DE UMIDADE; ACONDICIONAMENTO: EMBALAGEM PLÁSTICA ORIGINAL DE 1KG. LEGISLAÇÃO: CONFORME RESOLUÇÃO RDC N 263, DE 22/09/2005;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2.8</w:t>
            </w:r>
            <w:r>
              <w:rPr>
                <w:rFonts w:eastAsia="Arial" w:cs="Arial" w:ascii="Verdana" w:hAnsi="Verdana"/>
                <w:sz w:val="20"/>
                <w:szCs w:val="20"/>
              </w:rPr>
              <w:t>00</w:t>
            </w:r>
            <w:r>
              <w:rPr>
                <w:rFonts w:eastAsia="Arial" w:cs="Arial" w:ascii="Verdana" w:hAnsi="Verdana"/>
                <w:color w:val="000000"/>
                <w:sz w:val="20"/>
                <w:szCs w:val="20"/>
              </w:rPr>
              <w:t xml:space="preserve">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R$ 5,24</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R$ 14.672,00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18</w:t>
            </w:r>
          </w:p>
        </w:tc>
        <w:tc>
          <w:tcPr>
            <w:tcW w:w="4295" w:type="dxa"/>
            <w:tcBorders>
              <w:top w:val="single" w:sz="8" w:space="0" w:color="000000"/>
              <w:left w:val="single" w:sz="8" w:space="0" w:color="000000"/>
              <w:bottom w:val="single" w:sz="8" w:space="0" w:color="000000"/>
              <w:right w:val="single" w:sz="8" w:space="0" w:color="000000"/>
            </w:tcBorders>
            <w:shd w:fill="FFFFFF" w:val="clear"/>
          </w:tcPr>
          <w:p>
            <w:pPr>
              <w:pStyle w:val="normal2"/>
              <w:keepNext w:val="false"/>
              <w:keepLines w:val="false"/>
              <w:widowControl w:val="false"/>
              <w:shd w:val="clear" w:fill="auto"/>
              <w:spacing w:lineRule="auto" w:line="240" w:before="0" w:after="0"/>
              <w:ind w:hanging="0" w:left="0" w:right="0"/>
              <w:jc w:val="both"/>
              <w:rPr>
                <w:sz w:val="20"/>
                <w:szCs w:val="20"/>
              </w:rPr>
            </w:pPr>
            <w:r>
              <w:rPr>
                <w:rFonts w:eastAsia="Arial" w:cs="Arial" w:ascii="Verdana" w:hAnsi="Verdana"/>
                <w:b w:val="false"/>
                <w:i w:val="false"/>
                <w:caps w:val="false"/>
                <w:smallCaps w:val="false"/>
                <w:strike w:val="false"/>
                <w:dstrike w:val="false"/>
                <w:color w:val="000000"/>
                <w:position w:val="0"/>
                <w:sz w:val="20"/>
                <w:sz w:val="20"/>
                <w:szCs w:val="20"/>
                <w:u w:val="none"/>
                <w:shd w:fill="auto" w:val="clear"/>
                <w:vertAlign w:val="baseline"/>
              </w:rPr>
              <w:t>MACARRÃO LETRINHA; COM OVOS; ISENTO FRAGMENTOS ESTRANHOS, LIVRE DE UMIDADE; ACONDICIONAMENTO: EMBALAGEM PLÁSTICA ORIGINAL DE 500G. LEGISLAÇÃO: CONFORME RESOLUÇÃO RDC N 263, DE 22/09/2005;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
          </w:p>
          <w:p>
            <w:pPr>
              <w:pStyle w:val="normal2"/>
              <w:spacing w:lineRule="auto" w:line="360"/>
              <w:jc w:val="center"/>
              <w:rPr>
                <w:sz w:val="20"/>
                <w:szCs w:val="20"/>
              </w:rPr>
            </w:pPr>
            <w:r>
              <w:rPr>
                <w:rFonts w:eastAsia="Arial" w:cs="Arial" w:ascii="Verdana" w:hAnsi="Verdana"/>
                <w:color w:val="000000"/>
                <w:sz w:val="20"/>
                <w:szCs w:val="20"/>
              </w:rPr>
              <w:t>200 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R$ 5,09</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R$ 1.018,00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19</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MACARRÃO TIPO PARAFUSO - ZERO </w:t>
            </w:r>
            <w:r>
              <w:rPr>
                <w:rFonts w:eastAsia="Arial" w:cs="Arial" w:ascii="Verdana" w:hAnsi="Verdana"/>
                <w:sz w:val="20"/>
                <w:szCs w:val="20"/>
              </w:rPr>
              <w:t>GLÚTEN</w:t>
            </w:r>
            <w:r>
              <w:rPr>
                <w:rFonts w:eastAsia="Arial" w:cs="Arial" w:ascii="Verdana" w:hAnsi="Verdana"/>
                <w:color w:val="000000"/>
                <w:sz w:val="20"/>
                <w:szCs w:val="20"/>
              </w:rPr>
              <w:t>; COM ASPECTO, COR, ODOR E SABOR CARACTERÍSTICOS. ISENTO FRAGMENTOS ESTRANHOS, LIVRE DE UMIDADE; ACONDICIONAMENTO: EMBALAGEM PLÁSTICA ORIGINAL DE 500G. LEGISLAÇÃO: CONFORME RESOLUÇÃO RDC N 263, DE 22/09/2005;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14</w:t>
            </w:r>
            <w:r>
              <w:rPr>
                <w:rFonts w:eastAsia="Arial" w:cs="Arial" w:ascii="Verdana" w:hAnsi="Verdana"/>
                <w:sz w:val="20"/>
                <w:szCs w:val="20"/>
              </w:rPr>
              <w:t xml:space="preserve">0 </w:t>
            </w:r>
            <w:r>
              <w:rPr>
                <w:rFonts w:eastAsia="Arial" w:cs="Arial" w:ascii="Verdana" w:hAnsi="Verdana"/>
                <w:color w:val="000000"/>
                <w:sz w:val="20"/>
                <w:szCs w:val="20"/>
              </w:rPr>
              <w:t>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R$ 5,97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R$ 835,80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20</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CONDIMENTO COLORÍFICO COLORAU FINO, HOMOGÊNEO, OBTIDO DE FRUTOS MADUROS DE URUCUM, LIMPOS, DESSECADOS E MOÍDOS, DE COLORAÇÃO AVERMELHADA, COM ASPECTO, COR, CHEIRO E SABOR PRÓPRIO; ISENTO DE MATERIAIS ESTRANHOS, ACONDICIONADO EM EMBALAGEM ORIGINAL COM 500G.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64</w:t>
            </w:r>
            <w:r>
              <w:rPr>
                <w:rFonts w:eastAsia="Arial" w:cs="Arial" w:ascii="Verdana" w:hAnsi="Verdana"/>
                <w:sz w:val="20"/>
                <w:szCs w:val="20"/>
              </w:rPr>
              <w:t xml:space="preserve">0 </w:t>
            </w:r>
            <w:r>
              <w:rPr>
                <w:rFonts w:eastAsia="Arial" w:cs="Arial" w:ascii="Verdana" w:hAnsi="Verdana"/>
                <w:color w:val="000000"/>
                <w:sz w:val="20"/>
                <w:szCs w:val="20"/>
              </w:rPr>
              <w:t>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R$ 8,00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R$ 5.120,00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21</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BISCOITO SALGADO TIPO CREAM CRACKER TEXTURA CROCANTE; COM ODOR, SABOR E COR CARACTERÍSTICOS; ISENTO DE PARASITAS E MATERIAIS ESTRANHOS. EMBALAGEM PRIMÁRIA PLÁSTICA DE 400G.  VALIDADE MÍNIMA DE 06 MESES APÓS A ENTREGA. ZERO GORDURA TRANS.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76</w:t>
            </w:r>
            <w:r>
              <w:rPr>
                <w:rFonts w:eastAsia="Arial" w:cs="Arial" w:ascii="Verdana" w:hAnsi="Verdana"/>
                <w:sz w:val="20"/>
                <w:szCs w:val="20"/>
              </w:rPr>
              <w:t xml:space="preserve">0 </w:t>
            </w:r>
            <w:r>
              <w:rPr>
                <w:rFonts w:eastAsia="Arial" w:cs="Arial" w:ascii="Verdana" w:hAnsi="Verdana"/>
                <w:color w:val="000000"/>
                <w:sz w:val="20"/>
                <w:szCs w:val="20"/>
              </w:rPr>
              <w:t>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R$ 5,40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R$ 4.104,00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22</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BISCOITO DE POLVILHO SALGADO DE 100 GRAMAS SEM </w:t>
            </w:r>
            <w:r>
              <w:rPr>
                <w:rFonts w:eastAsia="Arial" w:cs="Arial" w:ascii="Verdana" w:hAnsi="Verdana"/>
                <w:sz w:val="20"/>
                <w:szCs w:val="20"/>
              </w:rPr>
              <w:t>GLÚTEN</w:t>
            </w:r>
            <w:r>
              <w:rPr>
                <w:rFonts w:eastAsia="Arial" w:cs="Arial" w:ascii="Verdana" w:hAnsi="Verdana"/>
                <w:color w:val="000000"/>
                <w:sz w:val="20"/>
                <w:szCs w:val="20"/>
              </w:rPr>
              <w:t xml:space="preserve">, SEM LACTOSE, SEM LEITE E DERIVADOS, LEVE E CROCANTE, EMBALAGEM PLÁSTICA, ATÓXICA, RESISTENTE, NÃO VIOLADA, APRESENTANDO DADOS DO PRODUTO, IDENTIFICAÇÃO, </w:t>
            </w:r>
            <w:r>
              <w:rPr>
                <w:rFonts w:eastAsia="Arial" w:cs="Arial" w:ascii="Verdana" w:hAnsi="Verdana"/>
                <w:sz w:val="20"/>
                <w:szCs w:val="20"/>
              </w:rPr>
              <w:t>PROCEDÊNCIA</w:t>
            </w:r>
            <w:r>
              <w:rPr>
                <w:rFonts w:eastAsia="Arial" w:cs="Arial" w:ascii="Verdana" w:hAnsi="Verdana"/>
                <w:color w:val="000000"/>
                <w:sz w:val="20"/>
                <w:szCs w:val="20"/>
              </w:rPr>
              <w:t xml:space="preserve">, </w:t>
            </w:r>
            <w:r>
              <w:rPr>
                <w:rFonts w:eastAsia="Arial" w:cs="Arial" w:ascii="Verdana" w:hAnsi="Verdana"/>
                <w:sz w:val="20"/>
                <w:szCs w:val="20"/>
              </w:rPr>
              <w:t>INGREDIENTES</w:t>
            </w:r>
            <w:r>
              <w:rPr>
                <w:rFonts w:eastAsia="Arial" w:cs="Arial" w:ascii="Verdana" w:hAnsi="Verdana"/>
                <w:color w:val="000000"/>
                <w:sz w:val="20"/>
                <w:szCs w:val="20"/>
              </w:rPr>
              <w:t>, INFORMAÇÃO NUTRICIONAL, LOTE, GRAMATURA, DATA DE FABRICAÇÃO E VALIDADE, CONTENDO OS SEGUINTES INGREDIENTES: POLVILHO, GORDURA VEGETAL, OVOS E SAL, EMBALAGEM DE 100 GRAMAS.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2.400</w:t>
            </w:r>
            <w:r>
              <w:rPr>
                <w:rFonts w:eastAsia="Arial" w:cs="Arial" w:ascii="Verdana" w:hAnsi="Verdana"/>
                <w:color w:val="000000"/>
                <w:sz w:val="20"/>
                <w:szCs w:val="20"/>
              </w:rPr>
              <w:t xml:space="preserve"> 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R$ 5,99</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R$ 14.376,00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23</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BISCOITO DOCE TIPO ROSQUINHA SABOR COCO, SEM LACTOSE E SEM </w:t>
            </w:r>
            <w:r>
              <w:rPr>
                <w:rFonts w:eastAsia="Arial" w:cs="Arial" w:ascii="Verdana" w:hAnsi="Verdana"/>
                <w:sz w:val="20"/>
                <w:szCs w:val="20"/>
              </w:rPr>
              <w:t>GLÚTEN</w:t>
            </w:r>
            <w:r>
              <w:rPr>
                <w:rFonts w:eastAsia="Arial" w:cs="Arial" w:ascii="Verdana" w:hAnsi="Verdana"/>
                <w:color w:val="000000"/>
                <w:sz w:val="20"/>
                <w:szCs w:val="20"/>
              </w:rPr>
              <w:t>. TEXTURA CROCANTE; COM ODOR, SABOR E COR CARACTERÍSTICOS; ISENTO DE PARASITAS E MATERIAIS ESTRANHOS. EMBALAGEM PRIMÁRIA PLÁSTICA DE 700G.  VALIDADE MÍNIMA DE 06 MESES APÓS A ENTREGA. ZERO GORDURA TRANS.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38</w:t>
            </w:r>
            <w:r>
              <w:rPr>
                <w:rFonts w:eastAsia="Arial" w:cs="Arial" w:ascii="Verdana" w:hAnsi="Verdana"/>
                <w:sz w:val="20"/>
                <w:szCs w:val="20"/>
              </w:rPr>
              <w:t>0</w:t>
            </w:r>
            <w:r>
              <w:rPr>
                <w:rFonts w:eastAsia="Arial" w:cs="Arial" w:ascii="Verdana" w:hAnsi="Verdana"/>
                <w:color w:val="000000"/>
                <w:sz w:val="20"/>
                <w:szCs w:val="20"/>
              </w:rPr>
              <w:t xml:space="preserve"> 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R$ 5,20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R$ 1.976,00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24</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BISCOITO DOCE TIPO MAISENA OU MARIA TEXTURA CROCANTE; COM ODOR, SABOR E COR CARACTERÍSTICOS; ISENTO DE PARASITAS E MATERIAIS ESTRANHOS. EMBALAGEM PRIMÁRIA PLÁSTICA DE 400G.  VALIDADE MÍNIMA DE 06 MESES APÓS A ENTREGA. ZERO GORDURA TRANS.</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760 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R$ 5,40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R$ 4.104,00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25</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AÇÚCAR CRISTALIZADO APRESENTAÇÃO: CRISTAL BRANCO; O PRODUTO </w:t>
            </w:r>
            <w:r>
              <w:rPr>
                <w:rFonts w:eastAsia="Arial" w:cs="Arial" w:ascii="Verdana" w:hAnsi="Verdana"/>
                <w:sz w:val="20"/>
                <w:szCs w:val="20"/>
              </w:rPr>
              <w:t>DEVERÁ</w:t>
            </w:r>
            <w:r>
              <w:rPr>
                <w:rFonts w:eastAsia="Arial" w:cs="Arial" w:ascii="Verdana" w:hAnsi="Verdana"/>
                <w:color w:val="000000"/>
                <w:sz w:val="20"/>
                <w:szCs w:val="20"/>
              </w:rPr>
              <w:t xml:space="preserve"> APRESENTAR REGISTRO NO </w:t>
            </w:r>
            <w:r>
              <w:rPr>
                <w:rFonts w:eastAsia="Arial" w:cs="Arial" w:ascii="Verdana" w:hAnsi="Verdana"/>
                <w:sz w:val="20"/>
                <w:szCs w:val="20"/>
              </w:rPr>
              <w:t>ÓRGÃO</w:t>
            </w:r>
            <w:r>
              <w:rPr>
                <w:rFonts w:eastAsia="Arial" w:cs="Arial" w:ascii="Verdana" w:hAnsi="Verdana"/>
                <w:color w:val="000000"/>
                <w:sz w:val="20"/>
                <w:szCs w:val="20"/>
              </w:rPr>
              <w:t xml:space="preserve"> COMPETENTE E INFORMAÇÕES NUTRICIONAIS; ACONDICIONAMENTO: EMBALAGEM PLÁSTICA ORIGINAL CONTENDO 2 KG.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2.4</w:t>
            </w:r>
            <w:r>
              <w:rPr>
                <w:rFonts w:eastAsia="Arial" w:cs="Arial" w:ascii="Verdana" w:hAnsi="Verdana"/>
                <w:sz w:val="20"/>
                <w:szCs w:val="20"/>
              </w:rPr>
              <w:t xml:space="preserve">00 </w:t>
            </w:r>
            <w:r>
              <w:rPr>
                <w:rFonts w:eastAsia="Arial" w:cs="Arial" w:ascii="Verdana" w:hAnsi="Verdana"/>
                <w:color w:val="000000"/>
                <w:sz w:val="20"/>
                <w:szCs w:val="20"/>
              </w:rPr>
              <w:t>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R$ 4,80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R$ 11.520,00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26</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ARROZ CLASSE: BRANCO POLIDO; TIPO 1, LONGO, FINO, GRÃOS INTEIROS, ISENTO DE FRAGMENTOS ESTRANHOS, PARASITAS E DETRITOS; ACONDICIONAMENTO: EMBALAGEM PLÁSTICA ORIGINAL; LEGISLAÇÃO: CONFORME RESOLUÇÃO RDC N 263, DE 22/09/2005; UNIDADE DE FORNECIMENTO: EMBALAGEM COM 5 KG.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7.200</w:t>
            </w:r>
            <w:r>
              <w:rPr>
                <w:rFonts w:eastAsia="Arial" w:cs="Arial" w:ascii="Verdana" w:hAnsi="Verdana"/>
                <w:color w:val="000000"/>
                <w:sz w:val="20"/>
                <w:szCs w:val="20"/>
              </w:rPr>
              <w:t xml:space="preserve">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R$ 4,90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R$ 35.280,00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27</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ÓLEO DE SOJA REFINADO TIPO 1, LÍQUIDO VISCOSO, FABRICADO A PARTIR DE </w:t>
            </w:r>
            <w:r>
              <w:rPr>
                <w:rFonts w:eastAsia="Arial" w:cs="Arial" w:ascii="Verdana" w:hAnsi="Verdana"/>
                <w:sz w:val="20"/>
                <w:szCs w:val="20"/>
              </w:rPr>
              <w:t>MATÉRIAS</w:t>
            </w:r>
            <w:r>
              <w:rPr>
                <w:rFonts w:eastAsia="Arial" w:cs="Arial" w:ascii="Verdana" w:hAnsi="Verdana"/>
                <w:color w:val="000000"/>
                <w:sz w:val="20"/>
                <w:szCs w:val="20"/>
              </w:rPr>
              <w:t xml:space="preserve"> PRIMAS SÃS E LIMPAS; EM EMBALAGEM PLÁSTICA ORIGINAL COM 900 ML. CAIXA CONTENDO 20 UNIDADES. VALIDADE MÍNIMA DE 04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2.400 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R$ 7,24</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R$ 17.376,00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28</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FEIJÃO </w:t>
            </w:r>
            <w:r>
              <w:rPr>
                <w:rFonts w:eastAsia="Arial" w:cs="Arial" w:ascii="Verdana" w:hAnsi="Verdana"/>
                <w:sz w:val="20"/>
                <w:szCs w:val="20"/>
              </w:rPr>
              <w:t>CARIOCA, TIPO 1, NOVO, GRÃOS INTEIROS, SEM FUROS, SEM MOFO, COM ODOR CARACTERÍSTICO, ISENTO DE FRAGMENTOS ESTRANHOS, PARASITAS E DETRITOS; ACONDICIONADO EM EMBALAGEM PLÁSTICA ORIGINAL COM 01 KG. VALIDADE MÍNIMA DE 04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3.000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R$ 5,49</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R$ 16.470,00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29</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FUBÁ PRÉ COZIDO ENRIQUECIDO COM FERRO, </w:t>
            </w:r>
            <w:r>
              <w:rPr>
                <w:rFonts w:eastAsia="Arial" w:cs="Arial" w:ascii="Verdana" w:hAnsi="Verdana"/>
                <w:sz w:val="20"/>
                <w:szCs w:val="20"/>
              </w:rPr>
              <w:t>ÁCIDO</w:t>
            </w:r>
            <w:r>
              <w:rPr>
                <w:rFonts w:eastAsia="Arial" w:cs="Arial" w:ascii="Verdana" w:hAnsi="Verdana"/>
                <w:color w:val="000000"/>
                <w:sz w:val="20"/>
                <w:szCs w:val="20"/>
              </w:rPr>
              <w:t xml:space="preserve"> FÓLICO E VITAMINA B9; ISENTO DE FRAGMENTOS ESTRANHOS, PARASITAS E DETRITOS; LEGISLAÇÃO: CONFORME RESOLUÇÃO RDC N 263, DE 22/09/2005; ACONDICIONAMENTO: EMBALAGEM ORIGINAL COM 01 KG. VALIDADE MÍNIMA DE 04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1.4</w:t>
            </w:r>
            <w:r>
              <w:rPr>
                <w:rFonts w:eastAsia="Arial" w:cs="Arial" w:ascii="Verdana" w:hAnsi="Verdana"/>
                <w:sz w:val="20"/>
                <w:szCs w:val="20"/>
              </w:rPr>
              <w:t xml:space="preserve">00 </w:t>
            </w:r>
            <w:r>
              <w:rPr>
                <w:rFonts w:eastAsia="Arial" w:cs="Arial" w:ascii="Verdana" w:hAnsi="Verdana"/>
                <w:color w:val="000000"/>
                <w:sz w:val="20"/>
                <w:szCs w:val="20"/>
              </w:rPr>
              <w:t>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R$ 5,65</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R$ 7.910,00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30</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SAL REFINADO TIPO: REFINADO IODADO; ISENTO DE FRAGMENTOS ESTRANHOS, PARASITAS E DETRITOS; LIVRE DE UMIDADE; LEGISLAÇÃO: CONFORME RESOLUCAO RDC N 130, DE 26/05/2003; ACONDICIONAMENTO: EMBALAGEM PLÁSTICA ORIGINAL DE 01KG. VALIDADE: </w:t>
            </w:r>
            <w:r>
              <w:rPr>
                <w:rFonts w:eastAsia="Arial" w:cs="Arial" w:ascii="Verdana" w:hAnsi="Verdana"/>
                <w:sz w:val="20"/>
                <w:szCs w:val="20"/>
              </w:rPr>
              <w:t>MÍNIMO</w:t>
            </w:r>
            <w:r>
              <w:rPr>
                <w:rFonts w:eastAsia="Arial" w:cs="Arial" w:ascii="Verdana" w:hAnsi="Verdana"/>
                <w:color w:val="000000"/>
                <w:sz w:val="20"/>
                <w:szCs w:val="20"/>
              </w:rPr>
              <w:t xml:space="preserve"> DE 08 MESES A PARTIR DA DATA DE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1.000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R$ 2,20</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R$ 2.200,00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31</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FARINHA DE TRIGO PRODUTO COMPOSTO DE 100% FARINHA DE TRIGO ESPECIAL PARA CONSUMO, OBTIDO ATRAVÉS DA MOAGEM DE TRIGO E ENRIQUECIDA COM FERRO E </w:t>
            </w:r>
            <w:r>
              <w:rPr>
                <w:rFonts w:eastAsia="Arial" w:cs="Arial" w:ascii="Verdana" w:hAnsi="Verdana"/>
                <w:sz w:val="20"/>
                <w:szCs w:val="20"/>
              </w:rPr>
              <w:t>ÁCIDO</w:t>
            </w:r>
            <w:r>
              <w:rPr>
                <w:rFonts w:eastAsia="Arial" w:cs="Arial" w:ascii="Verdana" w:hAnsi="Verdana"/>
                <w:color w:val="000000"/>
                <w:sz w:val="20"/>
                <w:szCs w:val="20"/>
              </w:rPr>
              <w:t xml:space="preserve"> FÓLICO. ACONDICIONAMENTO: EMBALAGEM ORIGINAL COM 1KG; LEGISLAÇÃO: CONFORME RESOLUÇÃO RDC N 175, DE 08/07/2003; VALIDADE MÍNIMA DE 04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2.9</w:t>
            </w:r>
            <w:r>
              <w:rPr>
                <w:rFonts w:eastAsia="Arial" w:cs="Arial" w:ascii="Verdana" w:hAnsi="Verdana"/>
                <w:sz w:val="20"/>
                <w:szCs w:val="20"/>
              </w:rPr>
              <w:t>00</w:t>
            </w:r>
            <w:r>
              <w:rPr>
                <w:rFonts w:eastAsia="Arial" w:cs="Arial" w:ascii="Verdana" w:hAnsi="Verdana"/>
                <w:color w:val="000000"/>
                <w:sz w:val="20"/>
                <w:szCs w:val="20"/>
              </w:rPr>
              <w:t xml:space="preserve"> 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R$ 6,63</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R$ 19.227,00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32</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 xml:space="preserve">FARINHA DE MANDIOCA DE 1ª QUALIDADE, FINA, SECA, ISENTO DE FRAGMENTOS ESTRANHOS, PARASITAS E DETRITOS, LIVRE DE UMIDADE, COM REGISTRO DO </w:t>
            </w:r>
            <w:r>
              <w:rPr>
                <w:rFonts w:eastAsia="Arial" w:cs="Arial" w:ascii="Verdana" w:hAnsi="Verdana"/>
                <w:sz w:val="20"/>
                <w:szCs w:val="20"/>
              </w:rPr>
              <w:t>MINISTÉRIO</w:t>
            </w:r>
            <w:r>
              <w:rPr>
                <w:rFonts w:eastAsia="Arial" w:cs="Arial" w:ascii="Verdana" w:hAnsi="Verdana"/>
                <w:color w:val="000000"/>
                <w:sz w:val="20"/>
                <w:szCs w:val="20"/>
              </w:rPr>
              <w:t xml:space="preserve"> COMPETENTE, EMBALAGEM </w:t>
            </w:r>
            <w:r>
              <w:rPr>
                <w:rFonts w:eastAsia="Arial" w:cs="Arial" w:ascii="Verdana" w:hAnsi="Verdana"/>
                <w:sz w:val="20"/>
                <w:szCs w:val="20"/>
              </w:rPr>
              <w:t>CONTENDO</w:t>
            </w:r>
            <w:r>
              <w:rPr>
                <w:rFonts w:eastAsia="Arial" w:cs="Arial" w:ascii="Verdana" w:hAnsi="Verdana"/>
                <w:color w:val="000000"/>
                <w:sz w:val="20"/>
                <w:szCs w:val="20"/>
              </w:rPr>
              <w:t xml:space="preserve"> DADOS DE IDENTIFICAÇÃO, </w:t>
            </w:r>
            <w:r>
              <w:rPr>
                <w:rFonts w:eastAsia="Arial" w:cs="Arial" w:ascii="Verdana" w:hAnsi="Verdana"/>
                <w:sz w:val="20"/>
                <w:szCs w:val="20"/>
              </w:rPr>
              <w:t>PROCEDÊNCIA</w:t>
            </w:r>
            <w:r>
              <w:rPr>
                <w:rFonts w:eastAsia="Arial" w:cs="Arial" w:ascii="Verdana" w:hAnsi="Verdana"/>
                <w:color w:val="000000"/>
                <w:sz w:val="20"/>
                <w:szCs w:val="20"/>
              </w:rPr>
              <w:t xml:space="preserve">, INFORMAÇÃO NUTRICIONAL, </w:t>
            </w:r>
            <w:r>
              <w:rPr>
                <w:rFonts w:eastAsia="Arial" w:cs="Arial" w:ascii="Verdana" w:hAnsi="Verdana"/>
                <w:sz w:val="20"/>
                <w:szCs w:val="20"/>
              </w:rPr>
              <w:t>NÚMERO</w:t>
            </w:r>
            <w:r>
              <w:rPr>
                <w:rFonts w:eastAsia="Arial" w:cs="Arial" w:ascii="Verdana" w:hAnsi="Verdana"/>
                <w:color w:val="000000"/>
                <w:sz w:val="20"/>
                <w:szCs w:val="20"/>
              </w:rPr>
              <w:t xml:space="preserve"> DE LOTE E DATA DE VALIDADE. EMBALAGEM PLÁSTICA DE 01KG, VALIDADE MÍNIMA DE 06 MESES A PARTIR DA DATA DE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260 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R$ 5,53</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R$ 1.437,80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33</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FARINHA DE AVEIA INTEGRAL RICA EM FIBRAS, PROTEÍNA, VITAMINA E SAIS MINERAIS.  ISENTA DE FRAGMENTOS ESTRANHOS, PARASITAS E DETRITOS; LIVRE DE UMIDADE; EMBALAGEM: CAIXINHA DE 165G OU 170G.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300 </w:t>
            </w:r>
            <w:r>
              <w:rPr>
                <w:rFonts w:eastAsia="Arial" w:cs="Arial" w:ascii="Verdana" w:hAnsi="Verdana"/>
                <w:color w:val="000000"/>
                <w:sz w:val="20"/>
                <w:szCs w:val="20"/>
              </w:rPr>
              <w:t>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R$ 4,66</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R$ 1.398,00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34</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AVEIA EM FLOCOS FINOS RICA EM FIBRAS, PROTEÍNA, VITAMINA E SAIS MINERAIS.  ISENTA DE FRAGMENTOS ESTRANHOS, PARASITAS E DETRITOS; LIVRE DE UMIDADE; EMBALAGEM: CAIXINHA DE 165G OU 170G.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300 </w:t>
            </w:r>
            <w:r>
              <w:rPr>
                <w:rFonts w:eastAsia="Arial" w:cs="Arial" w:ascii="Verdana" w:hAnsi="Verdana"/>
                <w:color w:val="000000"/>
                <w:sz w:val="20"/>
                <w:szCs w:val="20"/>
              </w:rPr>
              <w:t>UN</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R$ 6,45</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R$ 1.935,00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35</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MILHO PARA CANJICA GRUPO: CLASSE: BRANCO; TIPO 1; LEGISLACAO CONFORME RESOLUCAO RDC 263 DE 22 DE SETEMBRO DE 2005. EMBALAGEM COM 500G. VALIDADE MÍNIMA DE 04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color w:val="000000"/>
                <w:sz w:val="20"/>
                <w:szCs w:val="20"/>
              </w:rPr>
              <w:t>400 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R$ 5,17</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R$ 2.068,00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36</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AMENDOIM NATURAL DESCASCADO, SUBGRUPO: SELECIONADO, TIPO I. ACONDICIONADO: EMBALAGEM PLÁSTICA DE 500G, CONTENDO IDENTIFICAÇÃO DO PRODUTO DATA DE FABRICAÇÃO E PRAZO DE VALIDADE. VALIDADE MÍNIMA DE 06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
          </w:p>
          <w:p>
            <w:pPr>
              <w:pStyle w:val="normal2"/>
              <w:spacing w:lineRule="auto" w:line="360"/>
              <w:jc w:val="center"/>
              <w:rPr>
                <w:sz w:val="20"/>
                <w:szCs w:val="20"/>
              </w:rPr>
            </w:pPr>
            <w:r>
              <w:rPr>
                <w:rFonts w:eastAsia="Arial" w:cs="Arial" w:ascii="Verdana" w:hAnsi="Verdana"/>
                <w:color w:val="000000"/>
                <w:sz w:val="20"/>
                <w:szCs w:val="20"/>
              </w:rPr>
              <w:t>18</w:t>
            </w:r>
            <w:r>
              <w:rPr>
                <w:rFonts w:eastAsia="Arial" w:cs="Arial" w:ascii="Verdana" w:hAnsi="Verdana"/>
                <w:sz w:val="20"/>
                <w:szCs w:val="20"/>
              </w:rPr>
              <w:t xml:space="preserve">0 </w:t>
            </w:r>
            <w:r>
              <w:rPr>
                <w:rFonts w:eastAsia="Arial" w:cs="Arial" w:ascii="Verdana" w:hAnsi="Verdana"/>
                <w:color w:val="000000"/>
                <w:sz w:val="20"/>
                <w:szCs w:val="20"/>
              </w:rPr>
              <w:t>Pct</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R$ 9,83</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
          </w:p>
          <w:p>
            <w:pPr>
              <w:pStyle w:val="Normal"/>
              <w:spacing w:lineRule="auto" w:line="360"/>
              <w:jc w:val="center"/>
              <w:rPr>
                <w:sz w:val="20"/>
                <w:szCs w:val="20"/>
              </w:rPr>
            </w:pPr>
            <w:r>
              <w:rPr>
                <w:rFonts w:cs="Arial" w:ascii="Verdana" w:hAnsi="Verdana"/>
                <w:color w:val="000000"/>
                <w:sz w:val="20"/>
                <w:szCs w:val="20"/>
              </w:rPr>
              <w:t>R$ 1.769,40</w:t>
            </w:r>
          </w:p>
        </w:tc>
      </w:tr>
      <w:tr>
        <w:trPr>
          <w:trHeight w:val="269" w:hRule="atLeast"/>
        </w:trPr>
        <w:tc>
          <w:tcPr>
            <w:tcW w:w="74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37</w:t>
            </w:r>
          </w:p>
        </w:tc>
        <w:tc>
          <w:tcPr>
            <w:tcW w:w="42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jc w:val="both"/>
              <w:rPr>
                <w:sz w:val="20"/>
                <w:szCs w:val="20"/>
              </w:rPr>
            </w:pPr>
            <w:r>
              <w:rPr>
                <w:rFonts w:eastAsia="Arial" w:cs="Arial" w:ascii="Verdana" w:hAnsi="Verdana"/>
                <w:color w:val="000000"/>
                <w:sz w:val="20"/>
                <w:szCs w:val="20"/>
              </w:rPr>
              <w:t>UVA-PASSA DESIDRATADA, BRANCA, SEM SEMENTE, LIVRE DE FUNGOS; EMBALAGEM FECHADA E ROTULADA CONFORME LEGISLAÇÃO VIGENTE. PACOTE CONTENDO 200G.  DATA DE VALIDADE MÍNIMA DE 6 MESES APÓS A ENTREGA.</w:t>
            </w:r>
          </w:p>
        </w:tc>
        <w:tc>
          <w:tcPr>
            <w:tcW w:w="13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360"/>
              <w:jc w:val="center"/>
              <w:rPr>
                <w:sz w:val="20"/>
                <w:szCs w:val="20"/>
              </w:rPr>
            </w:pPr>
            <w:r>
              <w:rPr>
                <w:rFonts w:eastAsia="Arial" w:cs="Arial" w:ascii="Verdana" w:hAnsi="Verdana"/>
                <w:sz w:val="20"/>
                <w:szCs w:val="20"/>
              </w:rPr>
              <w:t xml:space="preserve">80 </w:t>
            </w:r>
            <w:r>
              <w:rPr>
                <w:rFonts w:eastAsia="Arial" w:cs="Arial" w:ascii="Verdana" w:hAnsi="Verdana"/>
                <w:color w:val="000000"/>
                <w:sz w:val="20"/>
                <w:szCs w:val="20"/>
              </w:rPr>
              <w:t>Kg</w:t>
            </w:r>
          </w:p>
        </w:tc>
        <w:tc>
          <w:tcPr>
            <w:tcW w:w="13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R$ 55,81</w:t>
            </w:r>
          </w:p>
        </w:tc>
        <w:tc>
          <w:tcPr>
            <w:tcW w:w="176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sz w:val="20"/>
                <w:szCs w:val="20"/>
              </w:rPr>
            </w:pPr>
            <w:r>
              <w:rPr>
                <w:rFonts w:cs="Arial" w:ascii="Verdana" w:hAnsi="Verdana"/>
                <w:color w:val="000000"/>
                <w:sz w:val="20"/>
                <w:szCs w:val="20"/>
              </w:rPr>
              <w:t>R$ 4.814,00</w:t>
            </w:r>
          </w:p>
        </w:tc>
      </w:tr>
      <w:tr>
        <w:trPr>
          <w:trHeight w:val="269" w:hRule="atLeast"/>
        </w:trPr>
        <w:tc>
          <w:tcPr>
            <w:tcW w:w="9520" w:type="dxa"/>
            <w:gridSpan w:val="5"/>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rPr>
                <w:rFonts w:ascii="Verdana" w:hAnsi="Verdana"/>
                <w:sz w:val="20"/>
                <w:szCs w:val="20"/>
              </w:rPr>
            </w:pPr>
            <w:r>
              <w:rPr>
                <w:rFonts w:ascii="Verdana" w:hAnsi="Verdana"/>
                <w:sz w:val="20"/>
                <w:szCs w:val="20"/>
              </w:rPr>
            </w:r>
          </w:p>
          <w:p>
            <w:pPr>
              <w:pStyle w:val="Normal"/>
              <w:spacing w:lineRule="auto" w:line="360"/>
              <w:rPr>
                <w:sz w:val="20"/>
                <w:szCs w:val="20"/>
              </w:rPr>
            </w:pPr>
            <w:r>
              <w:rPr>
                <w:rFonts w:cs="Arial" w:ascii="Verdana" w:hAnsi="Verdana"/>
                <w:b w:val="false"/>
                <w:bCs w:val="false"/>
                <w:color w:val="000000"/>
                <w:sz w:val="20"/>
                <w:szCs w:val="20"/>
              </w:rPr>
              <w:t>VALOR ESTIMADO TOTAL: R$842.572,70 (oitocentos e quarenta e dois mil quinhentos e setenta e dois reais e setenta centavos)</w:t>
            </w:r>
          </w:p>
          <w:p>
            <w:pPr>
              <w:pStyle w:val="Normal"/>
              <w:ind w:hanging="90" w:left="90"/>
              <w:jc w:val="center"/>
              <w:rPr>
                <w:rFonts w:ascii="Verdana" w:hAnsi="Verdana"/>
                <w:b w:val="false"/>
                <w:bCs w:val="false"/>
                <w:color w:val="000000"/>
                <w:sz w:val="20"/>
                <w:szCs w:val="20"/>
              </w:rPr>
            </w:pPr>
            <w:r>
              <w:rPr>
                <w:rFonts w:ascii="Verdana" w:hAnsi="Verdana"/>
                <w:b w:val="false"/>
                <w:bCs w:val="false"/>
                <w:color w:val="000000"/>
                <w:sz w:val="20"/>
                <w:szCs w:val="20"/>
              </w:rPr>
            </w:r>
          </w:p>
        </w:tc>
      </w:tr>
    </w:tbl>
    <w:p>
      <w:pPr>
        <w:pStyle w:val="Normal"/>
        <w:suppressAutoHyphens w:val="false"/>
        <w:spacing w:lineRule="auto" w:line="276" w:before="57" w:after="57"/>
        <w:ind w:hanging="0" w:left="0" w:right="0"/>
        <w:jc w:val="both"/>
        <w:rPr>
          <w:sz w:val="20"/>
          <w:szCs w:val="20"/>
        </w:rPr>
      </w:pPr>
      <w:r>
        <w:rPr>
          <w:rFonts w:ascii="Verdana" w:hAnsi="Verdana"/>
          <w:b w:val="false"/>
          <w:bCs w:val="false"/>
          <w:iCs/>
          <w:sz w:val="20"/>
          <w:szCs w:val="20"/>
        </w:rPr>
        <w:t>1.2.</w:t>
      </w:r>
      <w:r>
        <w:rPr>
          <w:rFonts w:ascii="Verdana" w:hAnsi="Verdana"/>
          <w:iCs/>
          <w:sz w:val="20"/>
          <w:szCs w:val="20"/>
        </w:rPr>
        <w:t xml:space="preserve"> Os produtos propostos deverão, obrigatoriamente, atender as exigências de qualidade, observados os padrões e normas baixadas pelos órgãos competentes de controle e fiscalização de qualidade industrial em especial ANVISA ou equiparadas.</w:t>
      </w:r>
    </w:p>
    <w:p>
      <w:pPr>
        <w:pStyle w:val="Normal"/>
        <w:suppressAutoHyphens w:val="false"/>
        <w:spacing w:lineRule="auto" w:line="276" w:before="57" w:after="57"/>
        <w:ind w:hanging="0" w:left="0" w:right="0"/>
        <w:jc w:val="both"/>
        <w:rPr>
          <w:sz w:val="20"/>
          <w:szCs w:val="20"/>
        </w:rPr>
      </w:pPr>
      <w:r>
        <w:rPr>
          <w:rFonts w:ascii="Verdana" w:hAnsi="Verdana"/>
          <w:iCs/>
          <w:sz w:val="20"/>
          <w:szCs w:val="20"/>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uppressAutoHyphens w:val="false"/>
        <w:spacing w:lineRule="auto" w:line="276" w:before="57" w:after="57"/>
        <w:ind w:hanging="0" w:left="0" w:right="0"/>
        <w:jc w:val="both"/>
        <w:rPr>
          <w:sz w:val="20"/>
          <w:szCs w:val="20"/>
        </w:rPr>
      </w:pPr>
      <w:r>
        <w:rPr>
          <w:rFonts w:ascii="Verdana" w:hAnsi="Verdana"/>
          <w:iCs/>
          <w:sz w:val="20"/>
          <w:szCs w:val="20"/>
        </w:rPr>
        <w:t xml:space="preserve">1.4. </w:t>
      </w:r>
      <w:bookmarkStart w:id="0" w:name="art23§711"/>
      <w:r>
        <w:rPr>
          <w:rFonts w:eastAsia="Times New Roman" w:cs="Arial" w:ascii="Verdana" w:hAnsi="Verdana"/>
          <w:iCs/>
          <w:color w:val="000000"/>
          <w:sz w:val="20"/>
          <w:szCs w:val="20"/>
        </w:rPr>
        <w:t>Os insumos necessários às embalagens e para as entregas serão fornecidos pela Contratada.</w:t>
      </w:r>
    </w:p>
    <w:p>
      <w:pPr>
        <w:pStyle w:val="ListParagraph"/>
        <w:suppressAutoHyphens w:val="false"/>
        <w:spacing w:lineRule="auto" w:line="276" w:before="57" w:after="57"/>
        <w:ind w:hanging="0" w:left="0" w:right="0"/>
        <w:contextualSpacing w:val="false"/>
        <w:jc w:val="both"/>
        <w:rPr>
          <w:sz w:val="20"/>
          <w:szCs w:val="20"/>
        </w:rPr>
      </w:pPr>
      <w:r>
        <w:rPr>
          <w:rFonts w:ascii="Verdana" w:hAnsi="Verdana"/>
          <w:b w:val="false"/>
          <w:bCs w:val="false"/>
          <w:iCs/>
          <w:sz w:val="20"/>
          <w:szCs w:val="20"/>
        </w:rPr>
        <w:t xml:space="preserve">1.5. </w:t>
      </w:r>
      <w:r>
        <w:rPr>
          <w:rFonts w:cs="Arial" w:ascii="Verdana" w:hAnsi="Verdana"/>
          <w:bCs/>
          <w:iCs/>
          <w:color w:val="000000"/>
          <w:sz w:val="20"/>
          <w:szCs w:val="20"/>
        </w:rPr>
        <w:t xml:space="preserve">O prazo de vigência da contratação será </w:t>
      </w:r>
      <w:r>
        <w:rPr>
          <w:rFonts w:eastAsia="Times New Roman" w:cs="Arial" w:ascii="Verdana" w:hAnsi="Verdana"/>
          <w:bCs/>
          <w:iCs/>
          <w:color w:val="000000"/>
          <w:sz w:val="20"/>
          <w:szCs w:val="20"/>
        </w:rPr>
        <w:t>contado da data da assinatura e término  em 30 dias após a última entrega fixada em cronograma anexo</w:t>
      </w:r>
      <w:r>
        <w:rPr>
          <w:rFonts w:cs="Arial" w:ascii="Verdana" w:hAnsi="Verdana"/>
          <w:bCs/>
          <w:iCs/>
          <w:color w:val="000000"/>
          <w:sz w:val="20"/>
          <w:szCs w:val="20"/>
        </w:rPr>
        <w:t>.</w:t>
      </w:r>
    </w:p>
    <w:p>
      <w:pPr>
        <w:pStyle w:val="ListParagraph"/>
        <w:tabs>
          <w:tab w:val="clear" w:pos="708"/>
          <w:tab w:val="left" w:pos="0" w:leader="none"/>
        </w:tabs>
        <w:suppressAutoHyphens w:val="false"/>
        <w:spacing w:lineRule="auto" w:line="276" w:before="57" w:after="57"/>
        <w:ind w:hanging="0" w:left="0" w:right="0"/>
        <w:contextualSpacing w:val="false"/>
        <w:jc w:val="both"/>
        <w:rPr>
          <w:sz w:val="20"/>
          <w:szCs w:val="20"/>
        </w:rPr>
      </w:pPr>
      <w:r>
        <w:rPr>
          <w:rFonts w:eastAsia="Times New Roman" w:cs="Times New Roman" w:ascii="Verdana" w:hAnsi="Verdana"/>
          <w:b w:val="false"/>
          <w:bCs w:val="false"/>
          <w:iCs/>
          <w:color w:val="000000"/>
          <w:sz w:val="20"/>
          <w:szCs w:val="20"/>
        </w:rPr>
        <w:t>1.6.</w:t>
      </w:r>
      <w:r>
        <w:rPr>
          <w:rFonts w:eastAsia="Times New Roman" w:cs="Times New Roman" w:ascii="Verdana" w:hAnsi="Verdana"/>
          <w:iCs/>
          <w:color w:val="000000"/>
          <w:sz w:val="20"/>
          <w:szCs w:val="20"/>
        </w:rPr>
        <w:t xml:space="preserve"> O custo estimado total da contratação é de</w:t>
      </w:r>
      <w:r>
        <w:rPr>
          <w:rFonts w:eastAsia="Times New Roman" w:cs="Times New Roman" w:ascii="Verdana" w:hAnsi="Verdana"/>
          <w:i w:val="false"/>
          <w:iCs w:val="false"/>
          <w:color w:val="FF0000"/>
          <w:sz w:val="20"/>
          <w:szCs w:val="20"/>
        </w:rPr>
        <w:t xml:space="preserve"> </w:t>
      </w:r>
      <w:r>
        <w:rPr>
          <w:rFonts w:eastAsia="Times New Roman" w:cs="Arial" w:ascii="Verdana" w:hAnsi="Verdana"/>
          <w:b w:val="false"/>
          <w:bCs w:val="false"/>
          <w:i w:val="false"/>
          <w:iCs w:val="false"/>
          <w:color w:val="000000"/>
          <w:sz w:val="20"/>
          <w:szCs w:val="20"/>
        </w:rPr>
        <w:t xml:space="preserve"> R$ R$842.572,70 (oitocentos e quarenta e dois mil quinhentos e setenta e dois reais e setenta centavos)</w:t>
      </w:r>
    </w:p>
    <w:p>
      <w:pPr>
        <w:pStyle w:val="ListParagraph"/>
        <w:tabs>
          <w:tab w:val="clear" w:pos="708"/>
          <w:tab w:val="left" w:pos="0" w:leader="none"/>
        </w:tabs>
        <w:suppressAutoHyphens w:val="false"/>
        <w:spacing w:lineRule="auto" w:line="276" w:before="57" w:after="57"/>
        <w:ind w:hanging="0" w:left="0" w:right="0"/>
        <w:contextualSpacing w:val="false"/>
        <w:jc w:val="both"/>
        <w:rPr>
          <w:sz w:val="20"/>
          <w:szCs w:val="20"/>
        </w:rPr>
      </w:pPr>
      <w:r>
        <w:rPr>
          <w:rFonts w:eastAsia="Times New Roman" w:cs="Arial" w:ascii="Verdana" w:hAnsi="Verdana"/>
          <w:b w:val="false"/>
          <w:bCs w:val="false"/>
          <w:i w:val="false"/>
          <w:iCs w:val="false"/>
          <w:color w:val="000000"/>
          <w:sz w:val="20"/>
          <w:szCs w:val="20"/>
        </w:rPr>
        <w:t xml:space="preserve"> </w:t>
      </w:r>
      <w:r>
        <w:rPr>
          <w:rFonts w:eastAsia="Times New Roman" w:cs="Times New Roman" w:ascii="Verdana" w:hAnsi="Verdana"/>
          <w:b w:val="false"/>
          <w:bCs w:val="false"/>
          <w:i w:val="false"/>
          <w:iCs w:val="false"/>
          <w:color w:val="000000"/>
          <w:sz w:val="20"/>
          <w:szCs w:val="20"/>
        </w:rPr>
        <w:t>c</w:t>
      </w:r>
      <w:r>
        <w:rPr>
          <w:rFonts w:eastAsia="Times New Roman" w:cs="Times New Roman" w:ascii="Verdana" w:hAnsi="Verdana"/>
          <w:i w:val="false"/>
          <w:iCs w:val="false"/>
          <w:color w:val="000000"/>
          <w:sz w:val="20"/>
          <w:szCs w:val="20"/>
        </w:rPr>
        <w:t xml:space="preserve">onforme </w:t>
      </w:r>
      <w:r>
        <w:rPr>
          <w:rFonts w:eastAsia="Times New Roman" w:cs="Times New Roman" w:ascii="Verdana" w:hAnsi="Verdana"/>
          <w:i w:val="false"/>
          <w:iCs w:val="false"/>
          <w:color w:val="000000"/>
          <w:sz w:val="20"/>
          <w:szCs w:val="20"/>
          <w:u w:val="none"/>
        </w:rPr>
        <w:t>custos un</w:t>
      </w:r>
      <w:r>
        <w:rPr>
          <w:rFonts w:eastAsia="Times New Roman" w:cs="Times New Roman" w:ascii="Verdana" w:hAnsi="Verdana"/>
          <w:i w:val="false"/>
          <w:iCs w:val="false"/>
          <w:color w:val="000000"/>
          <w:sz w:val="20"/>
          <w:szCs w:val="20"/>
          <w:u w:val="single"/>
        </w:rPr>
        <w:t>i</w:t>
      </w:r>
      <w:r>
        <w:rPr>
          <w:rFonts w:eastAsia="Times New Roman" w:cs="Times New Roman" w:ascii="Verdana" w:hAnsi="Verdana"/>
          <w:i w:val="false"/>
          <w:iCs w:val="false"/>
          <w:color w:val="000000"/>
          <w:sz w:val="20"/>
          <w:szCs w:val="20"/>
          <w:u w:val="none"/>
        </w:rPr>
        <w:t xml:space="preserve">tários </w:t>
      </w:r>
      <w:r>
        <w:rPr>
          <w:rFonts w:eastAsia="Times New Roman" w:cs="Times New Roman" w:ascii="Verdana" w:hAnsi="Verdana"/>
          <w:i w:val="false"/>
          <w:iCs w:val="false"/>
          <w:color w:val="000000"/>
          <w:sz w:val="20"/>
          <w:szCs w:val="20"/>
        </w:rPr>
        <w:t>apostos no orçamento e no quadro comparativo de preços si</w:t>
      </w:r>
      <w:r>
        <w:rPr>
          <w:rFonts w:eastAsia="Times New Roman" w:cs="Times New Roman" w:ascii="Verdana" w:hAnsi="Verdana"/>
          <w:iCs/>
          <w:color w:val="000000"/>
          <w:sz w:val="20"/>
          <w:szCs w:val="20"/>
        </w:rPr>
        <w:t>mples em anexo.</w:t>
      </w:r>
    </w:p>
    <w:p>
      <w:pPr>
        <w:pStyle w:val="normal3"/>
        <w:spacing w:lineRule="auto" w:line="276" w:before="57" w:after="57"/>
        <w:ind w:hanging="0" w:left="0"/>
        <w:jc w:val="both"/>
        <w:rPr>
          <w:rFonts w:ascii="Verdana" w:hAnsi="Verdana"/>
          <w:b w:val="false"/>
          <w:bCs w:val="false"/>
          <w:sz w:val="20"/>
          <w:szCs w:val="20"/>
        </w:rPr>
      </w:pPr>
      <w:r>
        <w:rPr>
          <w:rFonts w:ascii="Verdana" w:hAnsi="Verdana"/>
          <w:b w:val="false"/>
          <w:bCs w:val="false"/>
          <w:sz w:val="20"/>
          <w:szCs w:val="20"/>
        </w:rPr>
      </w:r>
    </w:p>
    <w:p>
      <w:pPr>
        <w:pStyle w:val="Nivel1"/>
        <w:spacing w:lineRule="auto" w:line="276" w:before="57" w:after="57"/>
        <w:ind w:hanging="0" w:left="0" w:right="0"/>
        <w:rPr>
          <w:sz w:val="20"/>
          <w:szCs w:val="20"/>
        </w:rPr>
      </w:pPr>
      <w:r>
        <w:rPr>
          <w:rFonts w:cs="Times New Roman" w:ascii="Verdana" w:hAnsi="Verdana"/>
          <w:bCs/>
          <w:sz w:val="20"/>
          <w:szCs w:val="20"/>
        </w:rPr>
        <w:t>2.  FUNDAMENTAÇÃO E DESCRIÇÃO DA NECESSIDADE DA AQUISIÇÃO</w:t>
      </w:r>
    </w:p>
    <w:p>
      <w:pPr>
        <w:pStyle w:val="Normal"/>
        <w:spacing w:lineRule="auto" w:line="276" w:before="57" w:after="57"/>
        <w:ind w:hanging="0" w:left="0"/>
        <w:jc w:val="both"/>
        <w:rPr>
          <w:sz w:val="20"/>
          <w:szCs w:val="20"/>
        </w:rPr>
      </w:pPr>
      <w:r>
        <w:rPr>
          <w:rFonts w:ascii="Verdana" w:hAnsi="Verdana"/>
          <w:b w:val="false"/>
          <w:bCs w:val="false"/>
          <w:sz w:val="20"/>
          <w:szCs w:val="20"/>
        </w:rPr>
        <w:t>2.1</w:t>
      </w:r>
      <w:r>
        <w:rPr>
          <w:rFonts w:ascii="Verdana" w:hAnsi="Verdana"/>
          <w:b/>
          <w:sz w:val="20"/>
          <w:szCs w:val="20"/>
        </w:rPr>
        <w:t xml:space="preserve">. </w:t>
      </w:r>
      <w:r>
        <w:rPr>
          <w:rFonts w:ascii="Verdana" w:hAnsi="Verdana"/>
          <w:sz w:val="20"/>
          <w:szCs w:val="20"/>
        </w:rPr>
        <w:t>Aquisi</w:t>
      </w:r>
      <w:r>
        <w:rPr>
          <w:rFonts w:ascii="Verdana" w:hAnsi="Verdana"/>
          <w:b w:val="false"/>
          <w:bCs w:val="false"/>
          <w:sz w:val="20"/>
          <w:szCs w:val="20"/>
        </w:rPr>
        <w:t xml:space="preserve">ção de gêneros </w:t>
      </w:r>
      <w:r>
        <w:rPr>
          <w:rFonts w:ascii="Verdana" w:hAnsi="Verdana"/>
          <w:sz w:val="20"/>
          <w:szCs w:val="20"/>
        </w:rPr>
        <w:t>alimentícios para atender ao Programa Nacional de Alimentação Escolar.</w:t>
      </w:r>
    </w:p>
    <w:p>
      <w:pPr>
        <w:pStyle w:val="Normal"/>
        <w:spacing w:lineRule="auto" w:line="276" w:before="57" w:after="57"/>
        <w:ind w:hanging="0" w:left="0"/>
        <w:jc w:val="both"/>
        <w:rPr>
          <w:sz w:val="20"/>
          <w:szCs w:val="20"/>
        </w:rPr>
      </w:pPr>
      <w:r>
        <w:rPr>
          <w:rFonts w:ascii="Verdana" w:hAnsi="Verdana"/>
          <w:b w:val="false"/>
          <w:bCs w:val="false"/>
          <w:sz w:val="20"/>
          <w:szCs w:val="20"/>
        </w:rPr>
        <w:t>2.2</w:t>
      </w:r>
      <w:r>
        <w:rPr>
          <w:rFonts w:ascii="Verdana" w:hAnsi="Verdana"/>
          <w:b/>
          <w:sz w:val="20"/>
          <w:szCs w:val="20"/>
        </w:rPr>
        <w:t>.</w:t>
      </w:r>
      <w:r>
        <w:rPr>
          <w:rFonts w:ascii="Verdana" w:hAnsi="Verdana"/>
          <w:sz w:val="20"/>
          <w:szCs w:val="20"/>
        </w:rPr>
        <w:t xml:space="preserve"> A quantidade foi estimada com base na demanda que será necessária para atender as Escolas, com levantamento realizado e informado pela Nutricionista Responsável Técnica do Programa Nacional de Alimentação Escolar no Município de São Gabriel da Palha;</w:t>
      </w:r>
    </w:p>
    <w:p>
      <w:pPr>
        <w:pStyle w:val="Normal"/>
        <w:spacing w:lineRule="auto" w:line="276" w:before="57" w:after="57"/>
        <w:ind w:hanging="0" w:left="0"/>
        <w:jc w:val="both"/>
        <w:rPr>
          <w:sz w:val="20"/>
          <w:szCs w:val="20"/>
        </w:rPr>
      </w:pPr>
      <w:r>
        <w:rPr>
          <w:rFonts w:ascii="Verdana" w:hAnsi="Verdana"/>
          <w:b w:val="false"/>
          <w:bCs w:val="false"/>
          <w:sz w:val="20"/>
          <w:szCs w:val="20"/>
        </w:rPr>
        <w:t>2.3.</w:t>
      </w:r>
      <w:r>
        <w:rPr>
          <w:rFonts w:ascii="Verdana" w:hAnsi="Verdana"/>
          <w:b/>
          <w:sz w:val="20"/>
          <w:szCs w:val="20"/>
        </w:rPr>
        <w:t xml:space="preserve"> </w:t>
      </w:r>
      <w:r>
        <w:rPr>
          <w:rFonts w:ascii="Verdana" w:hAnsi="Verdana"/>
          <w:b w:val="false"/>
          <w:bCs w:val="false"/>
          <w:sz w:val="20"/>
          <w:szCs w:val="20"/>
        </w:rPr>
        <w:t>A</w:t>
      </w:r>
      <w:r>
        <w:rPr>
          <w:rFonts w:ascii="Verdana" w:hAnsi="Verdana"/>
          <w:sz w:val="20"/>
          <w:szCs w:val="20"/>
        </w:rPr>
        <w:t>s Escolas da Rede Municipal necessitam dos gêneros alimentícios, devido seu valor nutricional e sua importância perante o crescimento e desenvolvimento dos alunos atendidos pelo programa de Alimentação Escolar;</w:t>
      </w:r>
    </w:p>
    <w:p>
      <w:pPr>
        <w:pStyle w:val="Normal"/>
        <w:spacing w:lineRule="auto" w:line="276" w:before="57" w:after="57"/>
        <w:ind w:hanging="0" w:left="0"/>
        <w:jc w:val="both"/>
        <w:rPr>
          <w:sz w:val="20"/>
          <w:szCs w:val="20"/>
        </w:rPr>
      </w:pPr>
      <w:r>
        <w:rPr>
          <w:rFonts w:ascii="Verdana" w:hAnsi="Verdana"/>
          <w:b w:val="false"/>
          <w:bCs w:val="false"/>
          <w:sz w:val="20"/>
          <w:szCs w:val="20"/>
        </w:rPr>
        <w:t>2.4.</w:t>
      </w:r>
      <w:r>
        <w:rPr>
          <w:rFonts w:ascii="Verdana" w:hAnsi="Verdana"/>
          <w:sz w:val="20"/>
          <w:szCs w:val="20"/>
        </w:rPr>
        <w:t xml:space="preserve"> Considerando que para manter um atendimento ao Programa Nacional de Alimentação Escolar durante o período letivo com fornecimento de gêneros perecíveis, conforme a discriminação dos itens, faz se necessária a aquisição.</w:t>
      </w:r>
    </w:p>
    <w:p>
      <w:pPr>
        <w:pStyle w:val="Nivel1"/>
        <w:spacing w:lineRule="auto" w:line="276" w:before="57" w:after="57"/>
        <w:ind w:hanging="0" w:left="0" w:right="0"/>
        <w:rPr>
          <w:sz w:val="20"/>
          <w:szCs w:val="20"/>
        </w:rPr>
      </w:pPr>
      <w:r>
        <w:rPr>
          <w:rFonts w:ascii="Verdana" w:hAnsi="Verdana"/>
          <w:bCs/>
          <w:sz w:val="20"/>
          <w:szCs w:val="20"/>
        </w:rPr>
        <w:t>3</w:t>
      </w:r>
      <w:r>
        <w:rPr>
          <w:rFonts w:ascii="Verdana" w:hAnsi="Verdana"/>
          <w:sz w:val="20"/>
          <w:szCs w:val="20"/>
        </w:rPr>
        <w:t>. DESCRIÇÃO DA SOLUÇÃO</w:t>
      </w:r>
    </w:p>
    <w:p>
      <w:pPr>
        <w:pStyle w:val="Normal"/>
        <w:spacing w:lineRule="auto" w:line="276" w:before="57" w:after="57"/>
        <w:ind w:hanging="0" w:left="0"/>
        <w:jc w:val="both"/>
        <w:rPr>
          <w:sz w:val="20"/>
          <w:szCs w:val="20"/>
        </w:rPr>
      </w:pPr>
      <w:r>
        <w:rPr>
          <w:rFonts w:ascii="Verdana" w:hAnsi="Verdana"/>
          <w:sz w:val="20"/>
          <w:szCs w:val="20"/>
        </w:rPr>
        <w:t xml:space="preserve">3.1. A solução a ser adotada consiste na aquisição de gêneros alimentícios por meio </w:t>
      </w:r>
      <w:r>
        <w:rPr>
          <w:rFonts w:ascii="Verdana" w:hAnsi="Verdana"/>
          <w:b w:val="false"/>
          <w:bCs w:val="false"/>
          <w:sz w:val="20"/>
          <w:szCs w:val="20"/>
        </w:rPr>
        <w:t>de pregão eletrônico, par</w:t>
      </w:r>
      <w:r>
        <w:rPr>
          <w:rFonts w:ascii="Verdana" w:hAnsi="Verdana"/>
          <w:sz w:val="20"/>
          <w:szCs w:val="20"/>
        </w:rPr>
        <w:t>a atender as necessidades das Escolas da Rede Pública Municipal através do Programa Nacional de Alimentação Escolar, da Secretaria Municipal de Educação.</w:t>
      </w:r>
    </w:p>
    <w:p>
      <w:pPr>
        <w:pStyle w:val="Normal"/>
        <w:spacing w:lineRule="auto" w:line="276" w:before="57" w:after="57"/>
        <w:ind w:hanging="0" w:left="0"/>
        <w:jc w:val="both"/>
        <w:rPr>
          <w:rFonts w:ascii="Verdana" w:hAnsi="Verdana" w:cs="Arial"/>
          <w:b w:val="false"/>
          <w:bCs w:val="false"/>
          <w:i w:val="false"/>
          <w:i w:val="false"/>
          <w:iCs w:val="false"/>
          <w:color w:val="000000"/>
          <w:sz w:val="20"/>
          <w:szCs w:val="20"/>
          <w:u w:val="none"/>
        </w:rPr>
      </w:pPr>
      <w:r>
        <w:rPr>
          <w:rFonts w:cs="Arial" w:ascii="Verdana" w:hAnsi="Verdana"/>
          <w:b w:val="false"/>
          <w:bCs w:val="false"/>
          <w:i w:val="false"/>
          <w:iCs w:val="false"/>
          <w:color w:val="000000"/>
          <w:sz w:val="20"/>
          <w:szCs w:val="20"/>
          <w:u w:val="none"/>
        </w:rPr>
      </w:r>
    </w:p>
    <w:p>
      <w:pPr>
        <w:pStyle w:val="Nivel1"/>
        <w:spacing w:lineRule="auto" w:line="276" w:before="57" w:after="57"/>
        <w:ind w:hanging="0" w:left="0" w:right="0"/>
        <w:rPr>
          <w:sz w:val="20"/>
          <w:szCs w:val="20"/>
        </w:rPr>
      </w:pPr>
      <w:r>
        <w:rPr>
          <w:rFonts w:cs="Times New Roman" w:ascii="Verdana" w:hAnsi="Verdana"/>
          <w:bCs/>
          <w:sz w:val="20"/>
          <w:szCs w:val="20"/>
        </w:rPr>
        <w:t>4. REQUISITOS DA CONTRATAÇÃO</w:t>
      </w:r>
    </w:p>
    <w:p>
      <w:pPr>
        <w:pStyle w:val="Normal"/>
        <w:spacing w:lineRule="auto" w:line="276" w:before="57" w:after="57"/>
        <w:ind w:hanging="0" w:left="0"/>
        <w:jc w:val="both"/>
        <w:rPr>
          <w:sz w:val="20"/>
          <w:szCs w:val="20"/>
        </w:rPr>
      </w:pPr>
      <w:r>
        <w:rPr>
          <w:rFonts w:ascii="Verdana" w:hAnsi="Verdana"/>
          <w:b w:val="false"/>
          <w:bCs w:val="false"/>
          <w:sz w:val="20"/>
          <w:szCs w:val="20"/>
        </w:rPr>
        <w:t>4.1 Fornecimento de gêneros alimentícios em atendimento ao PNAE - Programa Nacional de Alimentação Escolar, para as Unidades escolares vinculadas à Secretaria de Educação. A CONTRATADA deve:</w:t>
      </w:r>
    </w:p>
    <w:p>
      <w:pPr>
        <w:pStyle w:val="Normal"/>
        <w:tabs>
          <w:tab w:val="clear" w:pos="708"/>
          <w:tab w:val="left" w:pos="3390" w:leader="none"/>
          <w:tab w:val="center" w:pos="5032" w:leader="none"/>
        </w:tabs>
        <w:spacing w:lineRule="auto" w:line="276" w:before="57" w:after="57"/>
        <w:ind w:hanging="0" w:left="0"/>
        <w:jc w:val="both"/>
        <w:rPr>
          <w:sz w:val="20"/>
          <w:szCs w:val="20"/>
        </w:rPr>
      </w:pPr>
      <w:r>
        <w:rPr>
          <w:rFonts w:ascii="Verdana" w:hAnsi="Verdana"/>
          <w:b w:val="false"/>
          <w:bCs w:val="false"/>
          <w:sz w:val="20"/>
          <w:szCs w:val="20"/>
        </w:rPr>
        <w:t>a)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76" w:before="57" w:after="57"/>
        <w:ind w:hanging="0" w:left="0"/>
        <w:jc w:val="both"/>
        <w:rPr>
          <w:sz w:val="20"/>
          <w:szCs w:val="20"/>
        </w:rPr>
      </w:pPr>
      <w:r>
        <w:rPr>
          <w:rFonts w:ascii="Verdana" w:hAnsi="Verdana"/>
          <w:b w:val="false"/>
          <w:bCs w:val="false"/>
          <w:sz w:val="20"/>
          <w:szCs w:val="20"/>
        </w:rPr>
        <w:t>b) Os insumos necessários às embalagens e para as entregas serão fornecidos pela contratada.</w:t>
      </w:r>
    </w:p>
    <w:p>
      <w:pPr>
        <w:pStyle w:val="Normal"/>
        <w:spacing w:lineRule="auto" w:line="276" w:before="57" w:after="57"/>
        <w:ind w:hanging="0" w:left="0"/>
        <w:jc w:val="both"/>
        <w:rPr>
          <w:sz w:val="20"/>
          <w:szCs w:val="20"/>
        </w:rPr>
      </w:pPr>
      <w:r>
        <w:rPr>
          <w:rFonts w:ascii="Verdana" w:hAnsi="Verdana"/>
          <w:b w:val="false"/>
          <w:bCs w:val="false"/>
          <w:sz w:val="20"/>
          <w:szCs w:val="20"/>
          <w:highlight w:val="white"/>
        </w:rPr>
        <w:t>c) A contratada deverá cumprir com as entregas de acordo com o cronograma com as dat</w:t>
      </w:r>
      <w:r>
        <w:rPr>
          <w:rFonts w:ascii="Verdana" w:hAnsi="Verdana"/>
          <w:sz w:val="20"/>
          <w:szCs w:val="20"/>
          <w:highlight w:val="white"/>
        </w:rPr>
        <w:t xml:space="preserve">as e quantidades anexado ao contrato. </w:t>
      </w:r>
    </w:p>
    <w:p>
      <w:pPr>
        <w:pStyle w:val="Normal"/>
        <w:spacing w:lineRule="auto" w:line="276" w:before="57" w:after="57"/>
        <w:ind w:hanging="0" w:left="0"/>
        <w:jc w:val="both"/>
        <w:rPr>
          <w:sz w:val="20"/>
          <w:szCs w:val="20"/>
        </w:rPr>
      </w:pPr>
      <w:r>
        <w:rPr>
          <w:rFonts w:ascii="Verdana" w:hAnsi="Verdana"/>
          <w:b/>
          <w:sz w:val="20"/>
          <w:szCs w:val="20"/>
        </w:rPr>
        <w:t>4.2 Da qualificação técnica.</w:t>
      </w:r>
    </w:p>
    <w:p>
      <w:pPr>
        <w:pStyle w:val="Normal"/>
        <w:spacing w:lineRule="auto" w:line="276" w:before="57" w:after="57"/>
        <w:ind w:hanging="0" w:left="0"/>
        <w:jc w:val="both"/>
        <w:rPr>
          <w:sz w:val="20"/>
          <w:szCs w:val="20"/>
        </w:rPr>
      </w:pPr>
      <w:r>
        <w:rPr>
          <w:rFonts w:ascii="Verdana" w:hAnsi="Verdana"/>
          <w:b w:val="false"/>
          <w:bCs w:val="false"/>
          <w:sz w:val="20"/>
          <w:szCs w:val="20"/>
        </w:rPr>
        <w:t>4.2.1. Comprovação de aptidão para desempenho de atividade pertinente e compatí</w:t>
      </w:r>
      <w:r>
        <w:rPr>
          <w:rFonts w:ascii="Verdana" w:hAnsi="Verdana"/>
          <w:sz w:val="20"/>
          <w:szCs w:val="20"/>
        </w:rPr>
        <w:t>vel com o objeto desta licitação, mediante apresentação de atestado de capacidade técnica, expedido por pessoa jurídica de direito público ou privado, compatíveis com o objeto desta licitação, devidamente assinado pela pessoa responsável.</w:t>
      </w:r>
    </w:p>
    <w:p>
      <w:pPr>
        <w:pStyle w:val="Normal"/>
        <w:spacing w:lineRule="auto" w:line="276" w:before="57" w:after="57"/>
        <w:ind w:hanging="0" w:left="0"/>
        <w:jc w:val="both"/>
        <w:rPr>
          <w:sz w:val="20"/>
          <w:szCs w:val="20"/>
        </w:rPr>
      </w:pPr>
      <w:r>
        <w:rPr>
          <w:rFonts w:ascii="Verdana" w:hAnsi="Verdana"/>
          <w:b/>
          <w:sz w:val="20"/>
          <w:szCs w:val="20"/>
        </w:rPr>
        <w:t>4.3. Dos requisitos temporais.</w:t>
      </w:r>
    </w:p>
    <w:p>
      <w:pPr>
        <w:pStyle w:val="Normal"/>
        <w:spacing w:lineRule="auto" w:line="276" w:before="57" w:after="57"/>
        <w:ind w:hanging="0" w:left="0"/>
        <w:jc w:val="both"/>
        <w:rPr>
          <w:sz w:val="20"/>
          <w:szCs w:val="20"/>
        </w:rPr>
      </w:pPr>
      <w:r>
        <w:rPr>
          <w:rFonts w:ascii="Verdana" w:hAnsi="Verdana"/>
          <w:b w:val="false"/>
          <w:bCs w:val="false"/>
          <w:sz w:val="20"/>
          <w:szCs w:val="20"/>
        </w:rPr>
        <w:t xml:space="preserve">a) </w:t>
      </w:r>
      <w:r>
        <w:rPr>
          <w:rFonts w:ascii="Verdana" w:hAnsi="Verdana"/>
          <w:b w:val="false"/>
          <w:bCs w:val="false"/>
          <w:sz w:val="20"/>
          <w:szCs w:val="20"/>
          <w:highlight w:val="white"/>
        </w:rPr>
        <w:t xml:space="preserve">A contratada deverá cumprir com as entregas de acordo com o cronograma anexado aos autos com as datas estipuladas e quantidades, que deverá ser anexado ao contrato, com duração de oito entregas, uma por mês, </w:t>
      </w:r>
      <w:r>
        <w:rPr>
          <w:rFonts w:ascii="Verdana" w:hAnsi="Verdana"/>
          <w:sz w:val="20"/>
          <w:szCs w:val="20"/>
          <w:highlight w:val="white"/>
        </w:rPr>
        <w:t xml:space="preserve">de acordo com levantamento e em respeito ao cardápio escolar realizado pela nutricionista. </w:t>
      </w:r>
    </w:p>
    <w:p>
      <w:pPr>
        <w:pStyle w:val="Normal"/>
        <w:spacing w:lineRule="auto" w:line="276" w:before="57" w:after="57"/>
        <w:ind w:hanging="0" w:left="0"/>
        <w:jc w:val="both"/>
        <w:rPr>
          <w:rFonts w:ascii="Verdana" w:hAnsi="Verdana"/>
          <w:b/>
          <w:sz w:val="20"/>
          <w:szCs w:val="20"/>
        </w:rPr>
      </w:pPr>
      <w:r>
        <w:rPr>
          <w:rFonts w:ascii="Verdana" w:hAnsi="Verdana"/>
          <w:b/>
          <w:sz w:val="20"/>
          <w:szCs w:val="20"/>
        </w:rPr>
      </w:r>
    </w:p>
    <w:p>
      <w:pPr>
        <w:pStyle w:val="Nivel1"/>
        <w:suppressAutoHyphens w:val="true"/>
        <w:spacing w:lineRule="auto" w:line="276" w:before="57" w:after="57"/>
        <w:ind w:hanging="0" w:left="0" w:right="0"/>
        <w:rPr>
          <w:sz w:val="20"/>
          <w:szCs w:val="20"/>
        </w:rPr>
      </w:pPr>
      <w:r>
        <w:rPr>
          <w:rFonts w:ascii="Verdana" w:hAnsi="Verdana"/>
          <w:i w:val="false"/>
          <w:iCs w:val="false"/>
          <w:sz w:val="20"/>
          <w:szCs w:val="20"/>
        </w:rPr>
        <w:t>5. ENTREGA E CRITÉRIOS DE ACEITAÇÃO DO OBJETO.</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 Os gêneros perecíveis deverão ser apresentados no depósito do SEMAE, localizado na Rua Eli Cardoso, s/nº, Bairro Santa Cecília (Escola Irmã Adelaide Bertocchi - Polivalente), nesta cidade, juntamente com a Nota Fiscal para avaliação da qualidade e conferência do item com a descrição solicitada no Edital de Licitação; após, serão liberados para serem entregues diretamente nas escolas conforme cronogramas de entrega;</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5.2. Os gêneros não perecíveis deverão ser entregues diretamente no depósito do SEMAE, localizado na Rua Eli Cardoso, s/nº, Bairro Santa Cecília - (Escola Irmã Adelaide Bertocchi - Polivalente), nesta cidade, juntamente com a Nota Fiscal conforme cronograma de entrega.</w:t>
      </w:r>
    </w:p>
    <w:p>
      <w:pPr>
        <w:pStyle w:val="Normal"/>
        <w:spacing w:lineRule="auto" w:line="276" w:before="57" w:after="57"/>
        <w:ind w:hanging="0" w:left="0"/>
        <w:jc w:val="both"/>
        <w:rPr>
          <w:sz w:val="20"/>
          <w:szCs w:val="20"/>
        </w:rPr>
      </w:pPr>
      <w:r>
        <w:rPr>
          <w:rFonts w:cs="Arial" w:ascii="Verdana" w:hAnsi="Verdana"/>
          <w:b w:val="false"/>
          <w:bCs w:val="false"/>
          <w:sz w:val="20"/>
          <w:szCs w:val="20"/>
        </w:rPr>
        <w:t>5.3 A entrega deverá ocorrer sem qualquer ônus adicional, bem como a descarga e todas as demais despesas provenientes da mesma.</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5.4 A Empresa vencedora garantirá a qualidade dos materiais obrigando-se a repor aquele que apresentar defeito ou for entregue em desacordo com o apresentado na proposta.</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5.5 Os itens deverão ser entregues dentro do horário de expediente do setor de alimentação escolar e das escolas sendo de 7h as 17h, observando feriados e pontos facultativos.</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 xml:space="preserve">5.6 A Empresa vencedora garantirá a qualidade dos itens obrigando-se a repor aquele que apresentar defeito ou for entregue em desacordo com o apresentado na proposta; </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5.7 O material deverá ser entregue nas mesmas marcas indicadas nas propostas de preços vencedoras do certame e especificações constantes nas solicitações de compras.</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5.8 O recebimento provisório do material entregue dar-se-á pela conferência com a descrição constante da ordem de fornecimento ou serviço;</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5.9 O recebimento definitivo ocorrerá com a verificação integral de todos os itens e características do produto fornecido pela CONTRATADA;</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5.10 O recebimento definitivo não isenta a CONTRATADA de responsabilidades futuras quanto à qualidade dos fornecimentos e serviços prestados.</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5.11 O recebimento provisório dos produtos não implica em aceitação dos mesmos;</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5.12 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widowControl/>
        <w:suppressAutoHyphens w:val="tru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5.13 Havendo erro na Nota Fiscal ou outra circunstância impeditiva, o recebimento definitivo será suspenso, até que a empresa tome as medidas saneadoras necessárias;</w:t>
      </w:r>
    </w:p>
    <w:p>
      <w:pPr>
        <w:pStyle w:val="Normal"/>
        <w:spacing w:lineRule="auto" w:line="276" w:before="57" w:after="57"/>
        <w:ind w:hanging="0" w:left="0" w:right="0"/>
        <w:jc w:val="both"/>
        <w:rPr>
          <w:sz w:val="20"/>
          <w:szCs w:val="20"/>
        </w:rPr>
      </w:pPr>
      <w:r>
        <w:rPr>
          <w:rFonts w:ascii="Verdana" w:hAnsi="Verdana"/>
          <w:b/>
          <w:bCs/>
          <w:sz w:val="20"/>
          <w:szCs w:val="20"/>
        </w:rPr>
        <w:t>5.14. DAS AMOSTRAS</w:t>
      </w:r>
    </w:p>
    <w:p>
      <w:pPr>
        <w:pStyle w:val="Normal"/>
        <w:widowControl/>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5.14.1.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widowControl/>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5.14.2. Os produtos apresentados como amostras poderão ser abertos, manuseados e consumidos;</w:t>
      </w:r>
    </w:p>
    <w:p>
      <w:pPr>
        <w:pStyle w:val="Normal"/>
        <w:widowControl/>
        <w:suppressAutoHyphens w:val="false"/>
        <w:overflowPunct w:val="false"/>
        <w:bidi w:val="0"/>
        <w:spacing w:lineRule="auto" w:line="276" w:before="57" w:after="57"/>
        <w:ind w:hanging="0" w:left="0" w:right="0"/>
        <w:jc w:val="both"/>
        <w:rPr>
          <w:sz w:val="20"/>
          <w:szCs w:val="20"/>
        </w:rPr>
      </w:pPr>
      <w:r>
        <w:rPr>
          <w:rFonts w:cs="Arial" w:ascii="Verdana" w:hAnsi="Verdana"/>
          <w:b w:val="false"/>
          <w:bCs w:val="false"/>
          <w:sz w:val="20"/>
          <w:szCs w:val="20"/>
        </w:rPr>
        <w:t>5.14.3. A amostra apresentada, não será em hipótese alguma, considerada como início de entrega dos gêneros;</w:t>
      </w:r>
    </w:p>
    <w:p>
      <w:pPr>
        <w:pStyle w:val="Normal"/>
        <w:widowControl/>
        <w:suppressAutoHyphens w:val="false"/>
        <w:overflowPunct w:val="false"/>
        <w:bidi w:val="0"/>
        <w:spacing w:lineRule="auto" w:line="276" w:before="57" w:after="57"/>
        <w:ind w:hanging="0" w:left="0" w:right="0"/>
        <w:jc w:val="both"/>
        <w:rPr>
          <w:sz w:val="20"/>
          <w:szCs w:val="20"/>
        </w:rPr>
      </w:pPr>
      <w:r>
        <w:rPr>
          <w:rFonts w:ascii="Verdana" w:hAnsi="Verdana"/>
          <w:b w:val="false"/>
          <w:bCs w:val="false"/>
          <w:sz w:val="20"/>
          <w:szCs w:val="20"/>
        </w:rPr>
        <w:t>5.14.4. As amostras serão avaliadas pela Comissão do Núcleo de Promoção da Qualidade da Alim</w:t>
      </w:r>
      <w:r>
        <w:rPr>
          <w:rFonts w:ascii="Verdana" w:hAnsi="Verdana"/>
          <w:bCs w:val="false"/>
          <w:sz w:val="20"/>
          <w:szCs w:val="20"/>
        </w:rPr>
        <w:t>entação Escolar, apresentado o resultado em laudo escrito.</w:t>
      </w:r>
    </w:p>
    <w:p>
      <w:pPr>
        <w:pStyle w:val="Normal"/>
        <w:spacing w:lineRule="auto" w:line="276" w:before="57" w:after="57"/>
        <w:ind w:hanging="0" w:left="0" w:right="0"/>
        <w:jc w:val="both"/>
        <w:rPr>
          <w:sz w:val="20"/>
          <w:szCs w:val="20"/>
        </w:rPr>
      </w:pPr>
      <w:r>
        <w:rPr>
          <w:rFonts w:cs="Arial" w:ascii="Verdana" w:hAnsi="Verdana"/>
          <w:b w:val="false"/>
          <w:bCs w:val="false"/>
          <w:sz w:val="20"/>
          <w:szCs w:val="20"/>
        </w:rPr>
        <w:t>5.14.5. LOCAL DA ENTREGA</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Rua: Eli Cardoso S/Nº – Bairro Santa Cecília.</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 xml:space="preserve">Escola - EMEF Irmã Adelaide Bertocchi - Polivalente. </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SEMAE – Setor de Merenda Escolar.</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São Gabriel da Palha – ES</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CEP 29.7800-000</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5.14.5.1. CONTATO</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 xml:space="preserve">Tel: 99977-8342 - 99574-4758 - </w:t>
      </w:r>
    </w:p>
    <w:p>
      <w:pPr>
        <w:pStyle w:val="normal3"/>
        <w:widowControl/>
        <w:suppressAutoHyphens w:val="true"/>
        <w:bidi w:val="0"/>
        <w:spacing w:lineRule="auto" w:line="276" w:before="57" w:after="57"/>
        <w:ind w:hanging="0" w:left="0" w:right="0"/>
        <w:jc w:val="both"/>
        <w:rPr>
          <w:sz w:val="20"/>
          <w:szCs w:val="20"/>
        </w:rPr>
      </w:pPr>
      <w:r>
        <w:rPr>
          <w:rFonts w:ascii="Verdana" w:hAnsi="Verdana"/>
          <w:b w:val="false"/>
          <w:bCs w:val="false"/>
          <w:sz w:val="20"/>
          <w:szCs w:val="20"/>
        </w:rPr>
        <w:t>Email: financeirosemecsgp@gmail.com</w:t>
      </w:r>
    </w:p>
    <w:p>
      <w:pPr>
        <w:pStyle w:val="normal3"/>
        <w:spacing w:lineRule="auto" w:line="276" w:before="57" w:after="57"/>
        <w:ind w:hanging="0" w:left="0"/>
        <w:jc w:val="both"/>
        <w:rPr>
          <w:sz w:val="20"/>
          <w:szCs w:val="20"/>
        </w:rPr>
      </w:pPr>
      <w:r>
        <w:rPr>
          <w:rFonts w:cs="Arial" w:ascii="Verdana" w:hAnsi="Verdana"/>
          <w:b w:val="false"/>
          <w:bCs w:val="false"/>
          <w:sz w:val="20"/>
          <w:szCs w:val="20"/>
          <w:u w:val="none"/>
        </w:rPr>
        <w:t>Responsável: Secretaria Municipal de Educação e SEMAE – Setor de Alimentação Escolar.</w:t>
      </w:r>
    </w:p>
    <w:p>
      <w:pPr>
        <w:pStyle w:val="Normal"/>
        <w:spacing w:lineRule="auto" w:line="276" w:before="57" w:after="57"/>
        <w:ind w:hanging="0" w:left="0" w:right="0"/>
        <w:jc w:val="both"/>
        <w:rPr>
          <w:rFonts w:ascii="Verdana" w:hAnsi="Verdana" w:cs="Arial"/>
          <w:b w:val="false"/>
          <w:bCs w:val="false"/>
          <w:sz w:val="20"/>
          <w:szCs w:val="20"/>
          <w:u w:val="single"/>
        </w:rPr>
      </w:pPr>
      <w:r>
        <w:rPr>
          <w:rFonts w:cs="Arial" w:ascii="Verdana" w:hAnsi="Verdana"/>
          <w:b w:val="false"/>
          <w:bCs w:val="false"/>
          <w:sz w:val="20"/>
          <w:szCs w:val="20"/>
          <w:u w:val="single"/>
        </w:rPr>
      </w:r>
      <w:bookmarkStart w:id="1" w:name="page66R_mcid13"/>
      <w:bookmarkStart w:id="2" w:name="page66R_mcid131"/>
      <w:bookmarkStart w:id="3" w:name="page66R_mcid13"/>
      <w:bookmarkStart w:id="4" w:name="page66R_mcid131"/>
      <w:bookmarkEnd w:id="3"/>
      <w:bookmarkEnd w:id="4"/>
    </w:p>
    <w:p>
      <w:pPr>
        <w:pStyle w:val="Normal"/>
        <w:spacing w:lineRule="auto" w:line="276" w:before="57" w:after="57"/>
        <w:ind w:hanging="0" w:left="0" w:right="0"/>
        <w:jc w:val="both"/>
        <w:rPr>
          <w:sz w:val="20"/>
          <w:szCs w:val="20"/>
        </w:rPr>
      </w:pPr>
      <w:r>
        <w:rPr>
          <w:rFonts w:cs="Arial" w:ascii="Verdana" w:hAnsi="Verdana"/>
          <w:b/>
          <w:bCs/>
          <w:i w:val="false"/>
          <w:iCs w:val="false"/>
          <w:color w:val="000000"/>
          <w:sz w:val="20"/>
          <w:szCs w:val="20"/>
        </w:rPr>
        <w:t>6. OBRIGAÇÕES DA CONTRATANTE</w:t>
      </w:r>
    </w:p>
    <w:p>
      <w:pPr>
        <w:pStyle w:val="Normal"/>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6.1.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Receber os objetos no prazo e condições estabelecidas neste Termo de Referência, no contrato e seus anexos.</w:t>
      </w:r>
    </w:p>
    <w:p>
      <w:pPr>
        <w:pStyle w:val="Normal"/>
        <w:spacing w:lineRule="auto" w:line="276" w:before="57" w:after="57"/>
        <w:ind w:hanging="0" w:left="0" w:right="0"/>
        <w:jc w:val="both"/>
        <w:rPr>
          <w:sz w:val="20"/>
          <w:szCs w:val="20"/>
        </w:rPr>
      </w:pPr>
      <w:r>
        <w:rPr>
          <w:rFonts w:ascii="Verdana" w:hAnsi="Verdana"/>
          <w:b w:val="false"/>
          <w:bCs w:val="false"/>
          <w:sz w:val="20"/>
          <w:szCs w:val="20"/>
        </w:rPr>
        <w:t>6</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Verificar minuciosamente, no prazo fixado, a conformidade dos </w:t>
      </w:r>
      <w:r>
        <w:rPr>
          <w:rFonts w:eastAsia="Times New Roman" w:cs="Arial" w:ascii="Verdana" w:hAnsi="Verdana"/>
          <w:b w:val="false"/>
          <w:bCs w:val="false"/>
          <w:i w:val="false"/>
          <w:iCs w:val="false"/>
          <w:color w:val="000000"/>
          <w:sz w:val="20"/>
          <w:szCs w:val="20"/>
        </w:rPr>
        <w:t>gêneros alimentícios</w:t>
      </w:r>
      <w:bookmarkStart w:id="5" w:name="page68R_mcid7"/>
      <w:r>
        <w:rPr>
          <w:rFonts w:cs="Arial" w:ascii="Verdana" w:hAnsi="Verdana"/>
          <w:b w:val="false"/>
          <w:bCs w:val="false"/>
          <w:i w:val="false"/>
          <w:iCs w:val="false"/>
          <w:color w:val="000000"/>
          <w:sz w:val="20"/>
          <w:szCs w:val="20"/>
        </w:rPr>
        <w:t xml:space="preserve"> provisoriamente com as especificações constantes neste Termo de Referência, da proposta e contrato para fins de aceitação e recebimento definitivo.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6.3. Comunicar à Contratada, por escrito, sobre imperfeições, falhas ou irregularidades verificadas no objeto fornecido, para que seja substituído, reparado ou corrigido.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6.4. Acompanhar e fiscalizar o cumprimento das obrigações da Contratada, através de comissão/servidor especialmente designado.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6.5. Efetuar o pagamento à Contratada no valor correspondente ao fornecimento dos  gêneros alimentícios, no prazo e forma estabelecidos neste Termo de Referência, seus anexos e contrato.</w:t>
      </w:r>
    </w:p>
    <w:p>
      <w:pPr>
        <w:pStyle w:val="Normal"/>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 xml:space="preserve">6.6.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do presente contrato</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sz w:val="20"/>
          <w:szCs w:val="20"/>
        </w:rPr>
      </w:pPr>
      <w:bookmarkStart w:id="6" w:name="page68R_mcid17"/>
      <w:bookmarkEnd w:id="6"/>
      <w:r>
        <w:rPr>
          <w:rFonts w:cs="Arial" w:ascii="Verdana" w:hAnsi="Verdana"/>
          <w:b/>
          <w:bCs/>
          <w:i w:val="false"/>
          <w:iCs w:val="false"/>
          <w:color w:val="000000"/>
          <w:sz w:val="20"/>
          <w:szCs w:val="20"/>
        </w:rPr>
        <w:t>7. OBRIGAÇÕES DA CONTRATADA</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7.1. 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7.3. Responsabilizar-se pelos vícios e danos decorrentes do objeto.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7.4.</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Substituir, reparar ou corrigir, às suas expensas, no prazo fixado neste Termo de Referência, o objeto com avarias ou defeitos.</w:t>
      </w:r>
    </w:p>
    <w:p>
      <w:pPr>
        <w:pStyle w:val="Normal"/>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 xml:space="preserve">7.5. </w:t>
      </w:r>
      <w:r>
        <w:rPr>
          <w:rFonts w:cs="Arial" w:ascii="Verdana" w:hAnsi="Verdana"/>
          <w:b w:val="false"/>
          <w:bCs w:val="false"/>
          <w:i w:val="false"/>
          <w:iCs w:val="false"/>
          <w:color w:val="000000"/>
          <w:sz w:val="20"/>
          <w:szCs w:val="20"/>
        </w:rPr>
        <w:t>Comunicar à Contratante, no prazo máximo de 12 (</w:t>
      </w:r>
      <w:r>
        <w:rPr>
          <w:rFonts w:eastAsia="Times New Roman" w:cs="Arial" w:ascii="Verdana" w:hAnsi="Verdana"/>
          <w:b w:val="false"/>
          <w:bCs w:val="false"/>
          <w:i w:val="false"/>
          <w:iCs w:val="false"/>
          <w:color w:val="000000"/>
          <w:sz w:val="20"/>
          <w:szCs w:val="20"/>
        </w:rPr>
        <w:t>doze</w:t>
      </w:r>
      <w:r>
        <w:rPr>
          <w:rFonts w:cs="Arial" w:ascii="Verdana" w:hAnsi="Verdana"/>
          <w:b w:val="false"/>
          <w:bCs w:val="false"/>
          <w:i w:val="false"/>
          <w:iCs w:val="false"/>
          <w:color w:val="000000"/>
          <w:sz w:val="20"/>
          <w:szCs w:val="20"/>
        </w:rPr>
        <w:t>) horas que antecede a data da entrega, os motivos que impossibilitem o cumprimento do prazo previsto, com a devida comprovação.</w:t>
      </w:r>
    </w:p>
    <w:p>
      <w:pPr>
        <w:pStyle w:val="Normal"/>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7.6.</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Manter, durante toda a execução </w:t>
      </w:r>
      <w:r>
        <w:rPr>
          <w:rFonts w:eastAsia="Times New Roman" w:cs="Arial" w:ascii="Verdana" w:hAnsi="Verdana"/>
          <w:b w:val="false"/>
          <w:bCs w:val="false"/>
          <w:i w:val="false"/>
          <w:iCs w:val="false"/>
          <w:color w:val="000000"/>
          <w:sz w:val="20"/>
          <w:szCs w:val="20"/>
        </w:rPr>
        <w:t>do contrato</w:t>
      </w:r>
      <w:r>
        <w:rPr>
          <w:rFonts w:cs="Arial" w:ascii="Verdana" w:hAnsi="Verdana"/>
          <w:b w:val="false"/>
          <w:bCs w:val="false"/>
          <w:i w:val="false"/>
          <w:iCs w:val="false"/>
          <w:color w:val="000000"/>
          <w:sz w:val="20"/>
          <w:szCs w:val="20"/>
        </w:rPr>
        <w:t xml:space="preserve">, em compatibilidade com as obrigações assumidas, todas as condições de habilitação e qualificação exigidas </w:t>
      </w:r>
      <w:r>
        <w:rPr>
          <w:rFonts w:eastAsia="Times New Roman" w:cs="Arial" w:ascii="Verdana" w:hAnsi="Verdana"/>
          <w:b w:val="false"/>
          <w:bCs w:val="false"/>
          <w:i w:val="false"/>
          <w:iCs w:val="false"/>
          <w:color w:val="000000"/>
          <w:sz w:val="20"/>
          <w:szCs w:val="20"/>
        </w:rPr>
        <w:t>no chamamento público</w:t>
      </w:r>
      <w:r>
        <w:rPr>
          <w:rFonts w:cs="Arial" w:ascii="Verdana" w:hAnsi="Verdana"/>
          <w:b w:val="false"/>
          <w:bCs w:val="false"/>
          <w:i w:val="false"/>
          <w:iCs w:val="false"/>
          <w:color w:val="000000"/>
          <w:sz w:val="20"/>
          <w:szCs w:val="20"/>
        </w:rPr>
        <w:t>.</w:t>
      </w:r>
    </w:p>
    <w:p>
      <w:pPr>
        <w:pStyle w:val="Normal"/>
        <w:tabs>
          <w:tab w:val="clear" w:pos="708"/>
          <w:tab w:val="left" w:pos="0" w:leader="none"/>
        </w:tabs>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 xml:space="preserve">7.7. </w:t>
      </w:r>
      <w:r>
        <w:rPr>
          <w:rFonts w:cs="Arial" w:ascii="Verdana" w:hAnsi="Verdana"/>
          <w:b w:val="false"/>
          <w:bCs w:val="false"/>
          <w:i w:val="false"/>
          <w:iCs w:val="false"/>
          <w:color w:val="000000"/>
          <w:sz w:val="20"/>
          <w:szCs w:val="20"/>
        </w:rPr>
        <w:t xml:space="preserve">Indicar preposto para representá-la durante a execução da ata </w:t>
      </w:r>
      <w:r>
        <w:rPr>
          <w:rFonts w:eastAsia="Times New Roman" w:cs="Arial" w:ascii="Verdana" w:hAnsi="Verdana"/>
          <w:b w:val="false"/>
          <w:bCs w:val="false"/>
          <w:i w:val="false"/>
          <w:iCs w:val="false"/>
          <w:color w:val="000000"/>
          <w:sz w:val="20"/>
          <w:szCs w:val="20"/>
        </w:rPr>
        <w:t>contrato</w:t>
      </w:r>
      <w:r>
        <w:rPr>
          <w:rFonts w:cs="Arial" w:ascii="Verdana" w:hAnsi="Verdana"/>
          <w:b w:val="false"/>
          <w:bCs w:val="false"/>
          <w:i w:val="false"/>
          <w:iCs w:val="false"/>
          <w:color w:val="000000"/>
          <w:sz w:val="20"/>
          <w:szCs w:val="20"/>
        </w:rPr>
        <w:t>.</w:t>
      </w:r>
    </w:p>
    <w:p>
      <w:pPr>
        <w:pStyle w:val="Normal"/>
        <w:tabs>
          <w:tab w:val="clear" w:pos="708"/>
          <w:tab w:val="left" w:pos="450" w:leader="none"/>
        </w:tabs>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7.8.</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7.9. Durante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 a CONTRATADA deverá:</w:t>
      </w:r>
      <w:r>
        <w:rPr>
          <w:rFonts w:ascii="Verdana" w:hAnsi="Verdana"/>
          <w:sz w:val="20"/>
          <w:szCs w:val="20"/>
        </w:rPr>
        <w:br/>
      </w: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.9.1.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Atender prontamente às solicitações </w:t>
      </w:r>
      <w:r>
        <w:rPr>
          <w:rFonts w:eastAsia="Times New Roman" w:cs="Arial" w:ascii="Verdana" w:hAnsi="Verdana"/>
          <w:b w:val="false"/>
          <w:bCs w:val="false"/>
          <w:i w:val="false"/>
          <w:iCs w:val="false"/>
          <w:color w:val="000000"/>
          <w:sz w:val="20"/>
          <w:szCs w:val="20"/>
        </w:rPr>
        <w:t>da secretaria requisitante nas</w:t>
      </w:r>
      <w:r>
        <w:rPr>
          <w:rFonts w:cs="Arial" w:ascii="Verdana" w:hAnsi="Verdana"/>
          <w:b w:val="false"/>
          <w:bCs w:val="false"/>
          <w:i w:val="false"/>
          <w:iCs w:val="false"/>
          <w:color w:val="000000"/>
          <w:sz w:val="20"/>
          <w:szCs w:val="20"/>
        </w:rPr>
        <w:t xml:space="preserve"> quantidades e especificações deste TERMO DE REFERÊNCIA e CONTRATO.</w:t>
      </w:r>
    </w:p>
    <w:p>
      <w:pPr>
        <w:pStyle w:val="Normal"/>
        <w:tabs>
          <w:tab w:val="clear" w:pos="708"/>
          <w:tab w:val="left" w:pos="0" w:leader="none"/>
        </w:tabs>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7.9.</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Entregar os </w:t>
      </w:r>
      <w:r>
        <w:rPr>
          <w:rFonts w:eastAsia="Times New Roman" w:cs="Arial" w:ascii="Verdana" w:hAnsi="Verdana"/>
          <w:b w:val="false"/>
          <w:bCs w:val="false"/>
          <w:i w:val="false"/>
          <w:iCs w:val="false"/>
          <w:color w:val="000000"/>
          <w:sz w:val="20"/>
          <w:szCs w:val="20"/>
        </w:rPr>
        <w:t>gêneros alimentícios</w:t>
      </w:r>
      <w:r>
        <w:rPr>
          <w:rFonts w:cs="Arial" w:ascii="Verdana" w:hAnsi="Verdana"/>
          <w:b w:val="false"/>
          <w:bCs w:val="false"/>
          <w:i w:val="false"/>
          <w:iCs w:val="false"/>
          <w:color w:val="000000"/>
          <w:sz w:val="20"/>
          <w:szCs w:val="20"/>
        </w:rPr>
        <w:t xml:space="preserve">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 xml:space="preserve">7.9.3. </w:t>
      </w:r>
      <w:r>
        <w:rPr>
          <w:rFonts w:cs="Arial" w:ascii="Verdana" w:hAnsi="Verdana"/>
          <w:b w:val="false"/>
          <w:bCs w:val="false"/>
          <w:i w:val="false"/>
          <w:iCs w:val="false"/>
          <w:color w:val="000000"/>
          <w:sz w:val="20"/>
          <w:szCs w:val="20"/>
        </w:rPr>
        <w:t>A nota fiscal deverá ser acompanhada pelas Certidões de Regularidades Fiscais, exigidos para a habilitação no procedimento licitatório.</w:t>
      </w:r>
      <w:r>
        <w:rPr>
          <w:rFonts w:ascii="Verdana" w:hAnsi="Verdana"/>
          <w:sz w:val="20"/>
          <w:szCs w:val="20"/>
        </w:rPr>
        <w:br/>
      </w: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 xml:space="preserve">.9.4. </w:t>
      </w:r>
      <w:r>
        <w:rPr>
          <w:rFonts w:cs="Arial" w:ascii="Verdana" w:hAnsi="Verdana"/>
          <w:b w:val="false"/>
          <w:bCs w:val="false"/>
          <w:i w:val="false"/>
          <w:iCs w:val="false"/>
          <w:color w:val="000000"/>
          <w:sz w:val="20"/>
          <w:szCs w:val="20"/>
        </w:rPr>
        <w:t xml:space="preserve">Substituir quaisquer </w:t>
      </w:r>
      <w:r>
        <w:rPr>
          <w:rFonts w:eastAsia="Times New Roman" w:cs="Arial" w:ascii="Verdana" w:hAnsi="Verdana"/>
          <w:b w:val="false"/>
          <w:bCs w:val="false"/>
          <w:i w:val="false"/>
          <w:iCs w:val="false"/>
          <w:color w:val="000000"/>
          <w:sz w:val="20"/>
          <w:szCs w:val="20"/>
        </w:rPr>
        <w:t xml:space="preserve">item </w:t>
      </w:r>
      <w:r>
        <w:rPr>
          <w:rFonts w:cs="Arial" w:ascii="Verdana" w:hAnsi="Verdana"/>
          <w:b w:val="false"/>
          <w:bCs w:val="false"/>
          <w:i w:val="false"/>
          <w:iCs w:val="false"/>
          <w:color w:val="000000"/>
          <w:sz w:val="20"/>
          <w:szCs w:val="20"/>
        </w:rPr>
        <w:t xml:space="preserve">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Normal"/>
        <w:tabs>
          <w:tab w:val="clear" w:pos="708"/>
          <w:tab w:val="left" w:pos="0" w:leader="none"/>
        </w:tabs>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tabs>
          <w:tab w:val="clear" w:pos="708"/>
          <w:tab w:val="left" w:pos="0" w:leader="none"/>
        </w:tabs>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bookmarkStart w:id="7" w:name="page68R_mcid20"/>
      <w:bookmarkStart w:id="8" w:name="page68R_mcid201"/>
      <w:bookmarkStart w:id="9" w:name="page68R_mcid20"/>
      <w:bookmarkStart w:id="10" w:name="page68R_mcid201"/>
      <w:bookmarkEnd w:id="9"/>
      <w:bookmarkEnd w:id="10"/>
    </w:p>
    <w:p>
      <w:pPr>
        <w:pStyle w:val="Normal"/>
        <w:spacing w:lineRule="auto" w:line="276" w:before="57" w:after="57"/>
        <w:ind w:hanging="0" w:left="0" w:right="0"/>
        <w:jc w:val="both"/>
        <w:rPr>
          <w:sz w:val="20"/>
          <w:szCs w:val="20"/>
        </w:rPr>
      </w:pPr>
      <w:bookmarkStart w:id="11" w:name="_GoBack111"/>
      <w:bookmarkStart w:id="12" w:name="page70R_mcid10"/>
      <w:bookmarkEnd w:id="11"/>
      <w:bookmarkEnd w:id="12"/>
      <w:r>
        <w:rPr>
          <w:rFonts w:cs="Arial" w:ascii="Verdana" w:hAnsi="Verdana"/>
          <w:b/>
          <w:bCs/>
          <w:i w:val="false"/>
          <w:iCs w:val="false"/>
          <w:color w:val="000000"/>
          <w:sz w:val="20"/>
          <w:szCs w:val="20"/>
        </w:rPr>
        <w:t>8. DO CONTROLE E FISCALIZAÇÃO DA EXECUÇÃO</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8.1.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Será designado representante para acompanhar e fiscalizar a entrega d</w:t>
      </w:r>
      <w:r>
        <w:rPr>
          <w:rFonts w:eastAsia="Times New Roman" w:cs="Arial" w:ascii="Verdana" w:hAnsi="Verdana"/>
          <w:b w:val="false"/>
          <w:bCs w:val="false"/>
          <w:i w:val="false"/>
          <w:iCs w:val="false"/>
          <w:color w:val="000000"/>
          <w:sz w:val="20"/>
          <w:szCs w:val="20"/>
        </w:rPr>
        <w:t>os gêneros alimentícios</w:t>
      </w:r>
      <w:r>
        <w:rPr>
          <w:rFonts w:cs="Arial" w:ascii="Verdana" w:hAnsi="Verdana"/>
          <w:b w:val="false"/>
          <w:bCs w:val="false"/>
          <w:i w:val="false"/>
          <w:iCs w:val="false"/>
          <w:color w:val="000000"/>
          <w:sz w:val="20"/>
          <w:szCs w:val="20"/>
        </w:rPr>
        <w:t xml:space="preserve"> anotando em registro próprio todas as ocorrências relacionadas com a execução e determinando o que for necessário à regularização de falhas ou defeitos observados.</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before="57" w:after="57"/>
        <w:ind w:hanging="0" w:left="0" w:right="0"/>
        <w:jc w:val="both"/>
        <w:rPr>
          <w:sz w:val="20"/>
          <w:szCs w:val="20"/>
        </w:rPr>
      </w:pPr>
      <w:r>
        <w:rPr>
          <w:rFonts w:cs="Arial" w:ascii="Verdana" w:hAnsi="Verdana"/>
          <w:b w:val="false"/>
          <w:bCs w:val="false"/>
          <w:i w:val="false"/>
          <w:iCs w:val="false"/>
          <w:color w:val="000000"/>
          <w:sz w:val="20"/>
          <w:szCs w:val="20"/>
        </w:rPr>
        <w:t>8.3.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b w:val="false"/>
          <w:bCs w:val="false"/>
          <w:i w:val="false"/>
          <w:iCs w:val="false"/>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76" w:before="57" w:after="57"/>
        <w:ind w:hanging="0" w:left="0" w:right="0"/>
        <w:jc w:val="both"/>
        <w:rPr>
          <w:sz w:val="20"/>
          <w:szCs w:val="20"/>
        </w:rPr>
      </w:pPr>
      <w:r>
        <w:rPr>
          <w:rFonts w:ascii="Verdana" w:hAnsi="Verdana"/>
          <w:sz w:val="20"/>
          <w:szCs w:val="20"/>
        </w:rPr>
        <w:t>8.4. No caso de interrupção das entregas, por parte da contratada, o gestor do contrato tomará as providências cabíveis, de acordo com as cláusulas do edital e do contrato.</w:t>
      </w:r>
    </w:p>
    <w:p>
      <w:pPr>
        <w:pStyle w:val="Normal"/>
        <w:spacing w:lineRule="auto" w:line="276" w:before="57" w:after="57"/>
        <w:ind w:hanging="0" w:left="0" w:right="0"/>
        <w:jc w:val="both"/>
        <w:rPr>
          <w:rFonts w:ascii="Verdana" w:hAnsi="Verdana" w:cs="Arial"/>
          <w:b/>
          <w:sz w:val="20"/>
          <w:szCs w:val="20"/>
          <w:u w:val="none"/>
        </w:rPr>
      </w:pPr>
      <w:r>
        <w:rPr>
          <w:rFonts w:cs="Arial" w:ascii="Verdana" w:hAnsi="Verdana"/>
          <w:b/>
          <w:sz w:val="20"/>
          <w:szCs w:val="20"/>
          <w:u w:val="none"/>
        </w:rPr>
      </w:r>
    </w:p>
    <w:p>
      <w:pPr>
        <w:pStyle w:val="Normal"/>
        <w:tabs>
          <w:tab w:val="clear" w:pos="708"/>
          <w:tab w:val="left" w:pos="0" w:leader="none"/>
        </w:tabs>
        <w:spacing w:lineRule="auto" w:line="276" w:before="57" w:after="57"/>
        <w:ind w:hanging="0" w:left="0" w:right="0"/>
        <w:rPr>
          <w:sz w:val="20"/>
          <w:szCs w:val="20"/>
        </w:rPr>
      </w:pPr>
      <w:r>
        <w:rPr>
          <w:rFonts w:cs="Arial" w:ascii="Verdana" w:hAnsi="Verdana"/>
          <w:b/>
          <w:bCs/>
          <w:sz w:val="20"/>
          <w:szCs w:val="20"/>
          <w:u w:val="none"/>
        </w:rPr>
        <w:t>9. RESULTADOS PRETENDIDOS</w:t>
      </w:r>
    </w:p>
    <w:p>
      <w:pPr>
        <w:pStyle w:val="Normal"/>
        <w:spacing w:lineRule="auto" w:line="276" w:before="57" w:after="57"/>
        <w:ind w:hanging="0" w:left="0"/>
        <w:jc w:val="both"/>
        <w:rPr>
          <w:sz w:val="20"/>
          <w:szCs w:val="20"/>
        </w:rPr>
      </w:pPr>
      <w:r>
        <w:rPr>
          <w:rFonts w:cs="Arial" w:ascii="Verdana" w:hAnsi="Verdana"/>
          <w:b w:val="false"/>
          <w:bCs w:val="false"/>
          <w:sz w:val="20"/>
          <w:szCs w:val="20"/>
          <w:u w:val="none"/>
        </w:rPr>
        <w:t xml:space="preserve">9.1. </w:t>
      </w:r>
      <w:r>
        <w:rPr>
          <w:rFonts w:eastAsia="Times New Roman" w:cs="Arial" w:ascii="Verdana" w:hAnsi="Verdana"/>
          <w:b w:val="false"/>
          <w:bCs w:val="false"/>
          <w:color w:val="auto"/>
          <w:kern w:val="0"/>
          <w:sz w:val="20"/>
          <w:szCs w:val="20"/>
          <w:u w:val="none"/>
          <w:lang w:val="pt-BR" w:eastAsia="pt-BR" w:bidi="ar-SA"/>
        </w:rPr>
        <w:t>Com a contratação, buscamos suprir as necessidades das Escolas Municipais através do Programa Nacional de Alimentação Escolar, a fim de mantermos os 200 dias letivos com fornecimento de gêneros alimentícios de qualidade, fornecendo alimentação adequada aos alunos durante o período de aula.</w:t>
      </w:r>
    </w:p>
    <w:p>
      <w:pPr>
        <w:pStyle w:val="Normal"/>
        <w:spacing w:lineRule="auto" w:line="276" w:before="57" w:after="57"/>
        <w:ind w:hanging="0" w:left="0"/>
        <w:jc w:val="both"/>
        <w:rPr>
          <w:rFonts w:ascii="Verdana" w:hAnsi="Verdana" w:cs="Arial"/>
          <w:b/>
          <w:sz w:val="20"/>
          <w:szCs w:val="20"/>
          <w:highlight w:val="none"/>
          <w:u w:val="none"/>
          <w:shd w:fill="auto" w:val="clear"/>
        </w:rPr>
      </w:pPr>
      <w:r>
        <w:rPr>
          <w:rFonts w:cs="Arial" w:ascii="Verdana" w:hAnsi="Verdana"/>
          <w:b/>
          <w:sz w:val="20"/>
          <w:szCs w:val="20"/>
          <w:u w:val="none"/>
          <w:shd w:fill="auto" w:val="clear"/>
        </w:rPr>
      </w:r>
    </w:p>
    <w:p>
      <w:pPr>
        <w:pStyle w:val="Normal"/>
        <w:spacing w:lineRule="auto" w:line="276" w:before="57" w:after="57"/>
        <w:ind w:hanging="0" w:left="0"/>
        <w:jc w:val="both"/>
        <w:rPr>
          <w:sz w:val="20"/>
          <w:szCs w:val="20"/>
        </w:rPr>
      </w:pPr>
      <w:r>
        <w:rPr>
          <w:rFonts w:cs="Arial" w:ascii="Verdana" w:hAnsi="Verdana"/>
          <w:b/>
          <w:bCs/>
          <w:sz w:val="20"/>
          <w:szCs w:val="20"/>
          <w:u w:val="none"/>
          <w:shd w:fill="auto" w:val="clear"/>
        </w:rPr>
        <w:t>10. REGULARIDADE FISCAL E TRABALHISTA</w:t>
      </w:r>
    </w:p>
    <w:p>
      <w:pPr>
        <w:pStyle w:val="Normal"/>
        <w:spacing w:lineRule="auto" w:line="276" w:before="57" w:after="57"/>
        <w:ind w:hanging="0" w:left="0"/>
        <w:jc w:val="both"/>
        <w:rPr>
          <w:sz w:val="20"/>
          <w:szCs w:val="20"/>
        </w:rPr>
      </w:pPr>
      <w:r>
        <w:rPr>
          <w:rFonts w:eastAsia="Times New Roman" w:cs="Arial" w:ascii="Verdana" w:hAnsi="Verdana"/>
          <w:b w:val="false"/>
          <w:bCs w:val="false"/>
          <w:sz w:val="20"/>
          <w:szCs w:val="20"/>
          <w:u w:val="none"/>
          <w:shd w:fill="auto" w:val="clear"/>
        </w:rPr>
        <w:t xml:space="preserve">10.1. </w:t>
      </w:r>
      <w:r>
        <w:rPr>
          <w:rFonts w:cs="Arial" w:ascii="Verdana" w:hAnsi="Verdana"/>
          <w:b w:val="false"/>
          <w:bCs w:val="false"/>
          <w:sz w:val="20"/>
          <w:szCs w:val="20"/>
          <w:u w:val="none"/>
          <w:shd w:fill="auto" w:val="clear"/>
        </w:rPr>
        <w:t xml:space="preserve">Cópia de inscrição no Cadastro de Pessoas </w:t>
      </w:r>
      <w:r>
        <w:rPr>
          <w:rFonts w:eastAsia="Times New Roman" w:cs="Arial" w:ascii="Verdana" w:hAnsi="Verdana"/>
          <w:b w:val="false"/>
          <w:bCs w:val="false"/>
          <w:sz w:val="20"/>
          <w:szCs w:val="20"/>
          <w:u w:val="none"/>
          <w:shd w:fill="auto" w:val="clear"/>
        </w:rPr>
        <w:t>Jurídicas – CNPJ.</w:t>
      </w:r>
    </w:p>
    <w:p>
      <w:pPr>
        <w:pStyle w:val="Normal"/>
        <w:spacing w:lineRule="auto" w:line="276" w:before="57" w:after="57"/>
        <w:ind w:hanging="0" w:left="0"/>
        <w:jc w:val="both"/>
        <w:rPr>
          <w:sz w:val="20"/>
          <w:szCs w:val="20"/>
        </w:rPr>
      </w:pPr>
      <w:r>
        <w:rPr>
          <w:rFonts w:eastAsia="Times New Roman" w:cs="Arial" w:ascii="Verdana" w:hAnsi="Verdana"/>
          <w:b w:val="false"/>
          <w:bCs w:val="false"/>
          <w:sz w:val="20"/>
          <w:szCs w:val="20"/>
          <w:u w:val="none"/>
          <w:shd w:fill="auto" w:val="clear"/>
        </w:rPr>
        <w:t xml:space="preserve">10.2. </w:t>
      </w:r>
      <w:r>
        <w:rPr>
          <w:rFonts w:cs="Arial" w:ascii="Verdana" w:hAnsi="Verdana"/>
          <w:b w:val="false"/>
          <w:bCs w:val="false"/>
          <w:sz w:val="20"/>
          <w:szCs w:val="20"/>
          <w:u w:val="none"/>
          <w:shd w:fill="auto" w:val="clear"/>
        </w:rPr>
        <w:t xml:space="preserve">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76" w:before="57" w:after="57"/>
        <w:ind w:hanging="0" w:left="0"/>
        <w:jc w:val="both"/>
        <w:rPr/>
      </w:pPr>
      <w:r>
        <w:rPr>
          <w:rFonts w:eastAsia="Times New Roman" w:cs="Arial" w:ascii="Verdana" w:hAnsi="Verdana"/>
          <w:b w:val="false"/>
          <w:bCs w:val="false"/>
          <w:sz w:val="20"/>
          <w:szCs w:val="20"/>
          <w:u w:val="none"/>
          <w:shd w:fill="auto" w:val="clear"/>
        </w:rPr>
        <w:t>10.3.</w:t>
      </w:r>
      <w:r>
        <w:rPr>
          <w:rFonts w:cs="Arial" w:ascii="Verdana" w:hAnsi="Verdana"/>
          <w:b w:val="false"/>
          <w:bCs w:val="false"/>
          <w:sz w:val="20"/>
          <w:szCs w:val="20"/>
          <w:u w:val="none"/>
          <w:shd w:fill="auto" w:val="clear"/>
        </w:rPr>
        <w:t xml:space="preserve">Prova de regularidade com a Fazenda Estadual, que poderá ser solicitada no site </w:t>
      </w:r>
      <w:hyperlink r:id="rId2">
        <w:r>
          <w:rPr>
            <w:rStyle w:val="ListLabel37"/>
            <w:rFonts w:cs="Arial" w:ascii="Verdana" w:hAnsi="Verdana"/>
            <w:b w:val="false"/>
            <w:bCs w:val="false"/>
            <w:color w:val="000000"/>
            <w:sz w:val="20"/>
            <w:szCs w:val="20"/>
            <w:u w:val="none"/>
            <w:shd w:fill="auto" w:val="clear"/>
          </w:rPr>
          <w:t>https://internet.sefaz.es.gov.br</w:t>
        </w:r>
      </w:hyperlink>
      <w:r>
        <w:rPr>
          <w:rFonts w:cs="Arial" w:ascii="Verdana" w:hAnsi="Verdana"/>
          <w:b w:val="false"/>
          <w:bCs w:val="false"/>
          <w:color w:val="000000"/>
          <w:sz w:val="20"/>
          <w:szCs w:val="20"/>
          <w:u w:val="none"/>
          <w:shd w:fill="auto" w:val="clear"/>
        </w:rPr>
        <w:t>;</w:t>
      </w:r>
    </w:p>
    <w:p>
      <w:pPr>
        <w:pStyle w:val="Normal"/>
        <w:spacing w:lineRule="auto" w:line="276" w:before="57" w:after="57"/>
        <w:ind w:hanging="0" w:left="0"/>
        <w:jc w:val="both"/>
        <w:rPr>
          <w:sz w:val="20"/>
          <w:szCs w:val="20"/>
        </w:rPr>
      </w:pPr>
      <w:r>
        <w:rPr>
          <w:rFonts w:eastAsia="Times New Roman" w:cs="Arial" w:ascii="Verdana" w:hAnsi="Verdana"/>
          <w:b w:val="false"/>
          <w:bCs w:val="false"/>
          <w:sz w:val="20"/>
          <w:szCs w:val="20"/>
          <w:u w:val="none"/>
          <w:shd w:fill="auto" w:val="clear"/>
        </w:rPr>
        <w:t xml:space="preserve">10.4. </w:t>
      </w:r>
      <w:r>
        <w:rPr>
          <w:rFonts w:cs="Arial" w:ascii="Verdana" w:hAnsi="Verdana"/>
          <w:b w:val="false"/>
          <w:bCs w:val="false"/>
          <w:sz w:val="20"/>
          <w:szCs w:val="20"/>
          <w:u w:val="none"/>
          <w:shd w:fill="auto" w:val="clear"/>
        </w:rPr>
        <w:t xml:space="preserve"> Prova de regularidade com a Fazenda Pública Municipal referente ao domicílio do interessado.</w:t>
      </w:r>
    </w:p>
    <w:p>
      <w:pPr>
        <w:pStyle w:val="Normal"/>
        <w:spacing w:lineRule="auto" w:line="276" w:before="57" w:after="57"/>
        <w:ind w:hanging="0" w:left="0"/>
        <w:jc w:val="both"/>
        <w:rPr/>
      </w:pPr>
      <w:r>
        <w:rPr>
          <w:rFonts w:eastAsia="Times New Roman" w:cs="Arial" w:ascii="Verdana" w:hAnsi="Verdana"/>
          <w:b w:val="false"/>
          <w:bCs w:val="false"/>
          <w:sz w:val="20"/>
          <w:szCs w:val="20"/>
          <w:u w:val="none"/>
          <w:shd w:fill="auto" w:val="clear"/>
        </w:rPr>
        <w:t xml:space="preserve">10.5. </w:t>
      </w:r>
      <w:r>
        <w:rPr>
          <w:rFonts w:cs="Arial" w:ascii="Verdana" w:hAnsi="Verdana"/>
          <w:b w:val="false"/>
          <w:bCs w:val="false"/>
          <w:sz w:val="20"/>
          <w:szCs w:val="20"/>
          <w:u w:val="none"/>
          <w:shd w:fill="auto" w:val="clear"/>
        </w:rPr>
        <w:t>Prova de inexistência de débitos inadimplidos perante a Justiça do Trabalho, mediante a apresentação de certidão negativa, nos termos do Título VII-A da Con</w:t>
      </w:r>
      <w:r>
        <w:rPr>
          <w:rFonts w:cs="Arial" w:ascii="Verdana" w:hAnsi="Verdana"/>
          <w:sz w:val="20"/>
          <w:szCs w:val="20"/>
          <w:u w:val="none"/>
          <w:shd w:fill="auto" w:val="clear"/>
        </w:rPr>
        <w:t xml:space="preserve">solidação das Leis do Trabalho, aprovada pelo Decreto-Lei n.º 5.452, de 1º de maio de 1943, que poderá ser retirada no site </w:t>
      </w:r>
      <w:hyperlink r:id="rId3">
        <w:r>
          <w:rPr>
            <w:rStyle w:val="ListLabel38"/>
            <w:rFonts w:cs="Arial" w:ascii="Verdana" w:hAnsi="Verdana"/>
            <w:color w:val="000080"/>
            <w:sz w:val="20"/>
            <w:szCs w:val="20"/>
            <w:u w:val="none"/>
            <w:shd w:fill="auto" w:val="clear"/>
          </w:rPr>
          <w:t>http://www.tst.jus.br</w:t>
        </w:r>
      </w:hyperlink>
      <w:r>
        <w:rPr>
          <w:rFonts w:cs="Arial" w:ascii="Verdana" w:hAnsi="Verdana"/>
          <w:sz w:val="20"/>
          <w:szCs w:val="20"/>
          <w:u w:val="none"/>
          <w:shd w:fill="auto" w:val="clear"/>
        </w:rPr>
        <w:t>.</w:t>
      </w:r>
    </w:p>
    <w:p>
      <w:pPr>
        <w:pStyle w:val="Normal"/>
        <w:spacing w:lineRule="auto" w:line="276" w:before="57" w:after="57"/>
        <w:ind w:hanging="0" w:left="0"/>
        <w:jc w:val="both"/>
        <w:rPr>
          <w:rFonts w:ascii="Verdana" w:hAnsi="Verdana" w:cs="Arial"/>
          <w:b/>
          <w:sz w:val="20"/>
          <w:szCs w:val="20"/>
          <w:highlight w:val="none"/>
          <w:u w:val="none"/>
          <w:shd w:fill="auto" w:val="clear"/>
        </w:rPr>
      </w:pPr>
      <w:r>
        <w:rPr>
          <w:rFonts w:cs="Arial" w:ascii="Verdana" w:hAnsi="Verdana"/>
          <w:b/>
          <w:sz w:val="20"/>
          <w:szCs w:val="20"/>
          <w:u w:val="none"/>
          <w:shd w:fill="auto" w:val="clear"/>
        </w:rPr>
      </w:r>
    </w:p>
    <w:p>
      <w:pPr>
        <w:pStyle w:val="Normal"/>
        <w:spacing w:lineRule="auto" w:line="276" w:before="57" w:after="57"/>
        <w:ind w:hanging="0" w:left="0"/>
        <w:jc w:val="both"/>
        <w:rPr>
          <w:sz w:val="20"/>
          <w:szCs w:val="20"/>
        </w:rPr>
      </w:pPr>
      <w:r>
        <w:rPr>
          <w:rFonts w:cs="Arial" w:ascii="Verdana" w:hAnsi="Verdana"/>
          <w:b/>
          <w:bCs/>
          <w:sz w:val="20"/>
          <w:szCs w:val="20"/>
          <w:u w:val="none"/>
        </w:rPr>
        <w:t>11. DAS SANÇÕES ADMINISTRATIVAS</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 Dar causa à inexecução parcial do contrato.</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.1.2. Dar causa à inexecução parcial que cause grave dano à Administração, ao funcionamento dos serviços públicos ou ao interesse coletivo.</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.1.3. Dar causa à inexecução total;</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.1.4. Deixar de entregar a documentação exigida para o certame.</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.1.5. Não manter a proposta, salvo em decorrência de fato superveniente devidamente justificado.</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.1.7. Ensejar o retardamento da execução ou da entrega do objeto sem motivo justificado,</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11.1.9. Fraudar a dispensa eletrônica ou praticar ato fraudulento na execução do objeto.</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 Comportar-se de modo inidôneo ou cometer fraude de qualquer natureza.</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.1.11. Praticar atos ilícitos com vistas a frustrar os objetivos deste certame.</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.1.12. Praticar ato lesivo previsto no art. 5º da Lei nº 12.846, de 1º de agosto de 2013.</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11.1.13.</w:t>
      </w:r>
      <w:r>
        <w:rPr>
          <w:rFonts w:ascii="Verdana" w:hAnsi="Verdana"/>
          <w:b w:val="false"/>
          <w:bCs w:val="false"/>
          <w:iCs/>
          <w:sz w:val="20"/>
          <w:szCs w:val="20"/>
          <w:u w:val="none"/>
        </w:rPr>
        <w:t xml:space="preserve"> O fornecedor que cometer qualquer das infrações discriminadas nos subitens anteriores ficará sujeito, sem prejuízo da responsabilidade civil e criminal, às seguintes sanções:</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ab/>
        <w:t>a) Advertência pela falta do subitem 11.1.1 deste Termo de Referência, quando não se justificar a imposição de penalidade mais grave.</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.1.7 e 20% (vinte por cento), se cometidas infrações previstas nos itens 11.1.8 a 11.1.12; </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ab/>
        <w:tab/>
        <w:t>b.1) O valor da multa poderá ser descontado das faturas devidas à CONTRATADA;</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ab/>
        <w:tab/>
        <w:t>b.2) A multa pode ser aplicada isoladamente ou juntamente com as penali</w:t>
      </w:r>
      <w:r>
        <w:rPr>
          <w:rFonts w:ascii="Verdana" w:hAnsi="Verdana"/>
          <w:iCs/>
          <w:sz w:val="20"/>
          <w:szCs w:val="20"/>
          <w:u w:val="none"/>
        </w:rPr>
        <w:t xml:space="preserve">dades definidas nos itens “c” e “d” abaixo: </w:t>
      </w:r>
    </w:p>
    <w:p>
      <w:pPr>
        <w:pStyle w:val="Normal"/>
        <w:spacing w:lineRule="auto" w:line="276" w:before="57" w:after="57"/>
        <w:ind w:hanging="0" w:left="0" w:right="0"/>
        <w:jc w:val="both"/>
        <w:rPr>
          <w:sz w:val="20"/>
          <w:szCs w:val="20"/>
        </w:rPr>
      </w:pPr>
      <w:r>
        <w:rPr>
          <w:rFonts w:ascii="Verdana" w:hAnsi="Verdana"/>
          <w:iCs/>
          <w:sz w:val="20"/>
          <w:szCs w:val="20"/>
          <w:u w:val="none"/>
        </w:rPr>
        <w:tab/>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spacing w:lineRule="auto" w:line="276" w:before="57" w:after="57"/>
        <w:ind w:hanging="0" w:left="0" w:right="0"/>
        <w:jc w:val="both"/>
        <w:rPr>
          <w:sz w:val="20"/>
          <w:szCs w:val="20"/>
        </w:rPr>
      </w:pPr>
      <w:r>
        <w:rPr>
          <w:rFonts w:ascii="Verdana" w:hAnsi="Verdana"/>
          <w:iCs/>
          <w:sz w:val="20"/>
          <w:szCs w:val="20"/>
          <w:u w:val="none"/>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 Na aplicação das sanções serão considerados:</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.3.1. A natureza e a gravidade da infração cometida.</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11.3.2. As peculiaridades do caso concreto.</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11.3.3. As circunstâncias agravantes ou atenuantes.</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11.3.4. Os danos que dela provierem para a Administração Pública.</w:t>
      </w:r>
    </w:p>
    <w:p>
      <w:pPr>
        <w:pStyle w:val="Normal"/>
        <w:spacing w:lineRule="auto" w:line="276" w:before="57" w:after="57"/>
        <w:ind w:hanging="0" w:left="0" w:right="0"/>
        <w:jc w:val="both"/>
        <w:rPr>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.3.5. A implantação ou o aperfeiçoamento de programa de integridade, conforme normas e orientações dos órgãos de controle.</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sz w:val="20"/>
          <w:szCs w:val="20"/>
        </w:rPr>
      </w:pPr>
      <w:r>
        <w:rPr>
          <w:rFonts w:ascii="Verdana" w:hAnsi="Verdana"/>
          <w:b w:val="false"/>
          <w:bCs w:val="false"/>
          <w:iCs/>
          <w:sz w:val="20"/>
          <w:szCs w:val="20"/>
          <w:u w:val="none"/>
          <w:lang w:eastAsia="en-US"/>
        </w:rPr>
        <w:t>11.5. A aplicação de qualquer das penalidades previstas realizar-se-á em processo administrativo que assegurará o contraditório e a ampla defesa ao fornecedor/adjudicatário, observando-se o rito procedimental previsto no Capítulo I do Título IV d</w:t>
      </w:r>
      <w:r>
        <w:rPr>
          <w:rFonts w:ascii="Verdana" w:hAnsi="Verdana"/>
          <w:iCs/>
          <w:sz w:val="20"/>
          <w:szCs w:val="20"/>
          <w:u w:val="none"/>
          <w:lang w:eastAsia="en-US"/>
        </w:rPr>
        <w:t>a Lei 14.133/2021 – Das Infrações e Sanções Administrativas.</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sz w:val="20"/>
          <w:szCs w:val="20"/>
        </w:rPr>
      </w:pPr>
      <w:r>
        <w:rPr>
          <w:rFonts w:ascii="Verdana" w:hAnsi="Verdana"/>
          <w:b/>
          <w:bCs/>
          <w:sz w:val="20"/>
          <w:szCs w:val="20"/>
          <w:u w:val="none"/>
          <w:lang w:eastAsia="en-US"/>
        </w:rPr>
        <w:t>12. DA HABILITAÇÃO</w:t>
      </w:r>
      <w:r>
        <w:rPr>
          <w:rFonts w:ascii="Verdana" w:hAnsi="Verdana"/>
          <w:sz w:val="20"/>
          <w:szCs w:val="20"/>
          <w:u w:val="none"/>
          <w:lang w:eastAsia="en-US"/>
        </w:rPr>
        <w:t xml:space="preserve"> </w:t>
      </w:r>
    </w:p>
    <w:p>
      <w:pPr>
        <w:pStyle w:val="Normal"/>
        <w:spacing w:lineRule="auto" w:line="276" w:before="57" w:after="57"/>
        <w:ind w:hanging="0" w:left="0" w:right="0"/>
        <w:jc w:val="both"/>
        <w:rPr>
          <w:sz w:val="20"/>
          <w:szCs w:val="20"/>
        </w:rPr>
      </w:pPr>
      <w:r>
        <w:rPr>
          <w:rFonts w:cs="Verdana" w:ascii="Verdana" w:hAnsi="Verdana"/>
          <w:b w:val="false"/>
          <w:bCs w:val="false"/>
          <w:sz w:val="20"/>
          <w:szCs w:val="20"/>
          <w:u w:val="none"/>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lang w:eastAsia="ar-SA"/>
        </w:rPr>
        <w:t>a) SICAF;</w:t>
      </w:r>
    </w:p>
    <w:p>
      <w:pPr>
        <w:pStyle w:val="ListParagraph"/>
        <w:spacing w:lineRule="auto" w:line="276" w:before="57" w:after="57"/>
        <w:ind w:hanging="0" w:left="0" w:right="0"/>
        <w:contextualSpacing w:val="false"/>
        <w:jc w:val="both"/>
        <w:rPr/>
      </w:pPr>
      <w:r>
        <w:rPr>
          <w:rFonts w:cs="Verdana" w:ascii="Verdana" w:hAnsi="Verdana"/>
          <w:b w:val="false"/>
          <w:bCs w:val="false"/>
          <w:sz w:val="20"/>
          <w:szCs w:val="20"/>
          <w:u w:val="none"/>
          <w:lang w:eastAsia="ar-SA"/>
        </w:rPr>
        <w:t xml:space="preserve">b) Cadastro Nacional de Empresas Inidôneas e Suspensas – CEIS, mantido pela </w:t>
      </w:r>
      <w:r>
        <w:rPr>
          <w:rFonts w:cs="Verdana" w:ascii="Verdana" w:hAnsi="Verdana"/>
          <w:b w:val="false"/>
          <w:bCs w:val="false"/>
          <w:color w:val="000000"/>
          <w:sz w:val="20"/>
          <w:szCs w:val="20"/>
          <w:u w:val="none"/>
          <w:lang w:eastAsia="ar-SA"/>
        </w:rPr>
        <w:t>Controladoria-Geral da União (</w:t>
      </w:r>
      <w:hyperlink r:id="rId4">
        <w:r>
          <w:rPr>
            <w:rStyle w:val="ListLabel39"/>
            <w:rFonts w:cs="Verdana" w:ascii="Verdana" w:hAnsi="Verdana"/>
            <w:b w:val="false"/>
            <w:bCs w:val="false"/>
            <w:color w:val="000000"/>
            <w:sz w:val="20"/>
            <w:szCs w:val="20"/>
            <w:u w:val="none"/>
            <w:lang w:eastAsia="ar-SA"/>
          </w:rPr>
          <w:t>www.portaldatransparencia.gov.br/ceis</w:t>
        </w:r>
      </w:hyperlink>
      <w:r>
        <w:rPr>
          <w:rFonts w:cs="Verdana" w:ascii="Verdana" w:hAnsi="Verdana"/>
          <w:b w:val="false"/>
          <w:bCs w:val="false"/>
          <w:color w:val="000000"/>
          <w:sz w:val="20"/>
          <w:szCs w:val="20"/>
          <w:u w:val="none"/>
          <w:lang w:eastAsia="ar-SA"/>
        </w:rPr>
        <w:t>);</w:t>
      </w:r>
    </w:p>
    <w:p>
      <w:pPr>
        <w:pStyle w:val="ListParagraph"/>
        <w:spacing w:lineRule="auto" w:line="276" w:before="57" w:after="57"/>
        <w:ind w:hanging="0" w:left="0" w:right="0"/>
        <w:contextualSpacing w:val="false"/>
        <w:jc w:val="both"/>
        <w:rPr/>
      </w:pPr>
      <w:r>
        <w:rPr>
          <w:rFonts w:cs="Verdana" w:ascii="Verdana" w:hAnsi="Verdana"/>
          <w:b w:val="false"/>
          <w:bCs w:val="false"/>
          <w:color w:val="000000"/>
          <w:sz w:val="20"/>
          <w:szCs w:val="20"/>
          <w:u w:val="none"/>
          <w:lang w:eastAsia="ar-SA"/>
        </w:rPr>
        <w:t>c) Cadastro Nacional de Condenações Cíveis por Atos de Improbidade Administrativa, mantido pelo Conselho Nacional de Justiça (</w:t>
      </w:r>
      <w:hyperlink r:id="rId5">
        <w:r>
          <w:rPr>
            <w:rStyle w:val="ListLabel39"/>
            <w:rFonts w:cs="Verdana" w:ascii="Verdana" w:hAnsi="Verdana"/>
            <w:b w:val="false"/>
            <w:bCs w:val="false"/>
            <w:color w:val="000000"/>
            <w:sz w:val="20"/>
            <w:szCs w:val="20"/>
            <w:u w:val="none"/>
            <w:lang w:eastAsia="ar-SA"/>
          </w:rPr>
          <w:t>www.cnj.jus.br/improbidade_adm/consultar_requerido.php</w:t>
        </w:r>
      </w:hyperlink>
      <w:r>
        <w:rPr>
          <w:rFonts w:cs="Verdana" w:ascii="Verdana" w:hAnsi="Verdana"/>
          <w:b w:val="false"/>
          <w:bCs w:val="false"/>
          <w:color w:val="000000"/>
          <w:sz w:val="20"/>
          <w:szCs w:val="20"/>
          <w:u w:val="none"/>
          <w:lang w:eastAsia="ar-SA"/>
        </w:rPr>
        <w:t>).</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jc w:val="both"/>
        <w:rPr/>
      </w:pPr>
      <w:r>
        <w:rPr>
          <w:rFonts w:cs="Verdana" w:ascii="Verdana" w:hAnsi="Verdana"/>
          <w:b w:val="false"/>
          <w:bCs w:val="false"/>
          <w:color w:val="000000"/>
          <w:sz w:val="20"/>
          <w:szCs w:val="20"/>
          <w:u w:val="none"/>
          <w:lang w:eastAsia="ar-SA"/>
        </w:rPr>
        <w:t>e) Cadastro de empresas inid</w:t>
      </w:r>
      <w:r>
        <w:rPr>
          <w:rFonts w:cs="Verdana" w:ascii="Verdana" w:hAnsi="Verdana"/>
          <w:b w:val="false"/>
          <w:bCs w:val="false"/>
          <w:color w:val="000000"/>
          <w:sz w:val="20"/>
          <w:szCs w:val="20"/>
          <w:u w:val="none"/>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40"/>
            <w:rFonts w:cs="Verdana" w:ascii="Verdana" w:hAnsi="Verdana"/>
            <w:b w:val="false"/>
            <w:bCs w:val="false"/>
            <w:color w:val="000000"/>
            <w:sz w:val="20"/>
            <w:szCs w:val="20"/>
            <w:u w:val="none"/>
          </w:rPr>
          <w:t>https://www.tcees.tc.br/portal-da-transparencia/consultas/lista-de</w:t>
        </w:r>
      </w:hyperlink>
      <w:r>
        <w:rPr>
          <w:rFonts w:cs="Verdana" w:ascii="Verdana" w:hAnsi="Verdana"/>
          <w:b w:val="false"/>
          <w:bCs w:val="false"/>
          <w:color w:val="000000"/>
          <w:sz w:val="20"/>
          <w:szCs w:val="20"/>
          <w:u w:val="none"/>
        </w:rPr>
        <w:t xml:space="preserve"> responsáveis/proibidos-de-contratar/).</w:t>
      </w:r>
    </w:p>
    <w:p>
      <w:pPr>
        <w:pStyle w:val="Normal"/>
        <w:spacing w:lineRule="auto" w:line="276" w:before="57" w:after="57"/>
        <w:ind w:hanging="0" w:left="0"/>
        <w:jc w:val="both"/>
        <w:rPr/>
      </w:pPr>
      <w:r>
        <w:rPr>
          <w:rFonts w:cs="Verdana" w:ascii="Verdana" w:hAnsi="Verdana"/>
          <w:b w:val="false"/>
          <w:bCs w:val="false"/>
          <w:color w:val="000000"/>
          <w:sz w:val="20"/>
          <w:szCs w:val="20"/>
          <w:u w:val="none"/>
          <w:lang w:eastAsia="ar-SA"/>
        </w:rPr>
        <w:t>12.1.1. Para a consulta de licitantes pessoa jurídica poderá haver a substituição das consultas das alíneas “b”, “c” e “d” acima pela Consulta Consolidada de Pessoa Jurídica do TCU (</w:t>
      </w:r>
      <w:hyperlink r:id="rId7">
        <w:r>
          <w:rPr>
            <w:rStyle w:val="ListLabel39"/>
            <w:rFonts w:cs="Verdana" w:ascii="Verdana" w:hAnsi="Verdana"/>
            <w:b w:val="false"/>
            <w:bCs w:val="false"/>
            <w:color w:val="000000"/>
            <w:sz w:val="20"/>
            <w:szCs w:val="20"/>
            <w:u w:val="none"/>
            <w:lang w:eastAsia="ar-SA"/>
          </w:rPr>
          <w:t>https://certidoesapf.apps.tcu.gov.br/</w:t>
        </w:r>
      </w:hyperlink>
      <w:r>
        <w:rPr>
          <w:rFonts w:cs="Verdana" w:ascii="Verdana" w:hAnsi="Verdana"/>
          <w:b w:val="false"/>
          <w:bCs w:val="false"/>
          <w:color w:val="000000"/>
          <w:sz w:val="20"/>
          <w:szCs w:val="20"/>
          <w:u w:val="none"/>
          <w:lang w:eastAsia="ar-SA"/>
        </w:rPr>
        <w:t>);</w:t>
      </w:r>
    </w:p>
    <w:p>
      <w:pPr>
        <w:pStyle w:val="Normal"/>
        <w:spacing w:lineRule="auto" w:line="276" w:before="57" w:after="57"/>
        <w:ind w:hanging="0" w:left="0"/>
        <w:jc w:val="both"/>
        <w:rPr>
          <w:sz w:val="20"/>
          <w:szCs w:val="20"/>
        </w:rPr>
      </w:pPr>
      <w:r>
        <w:rPr>
          <w:rFonts w:cs="Verdana" w:ascii="Verdana" w:hAnsi="Verdana"/>
          <w:b w:val="false"/>
          <w:bCs w:val="false"/>
          <w:color w:val="000000"/>
          <w:sz w:val="20"/>
          <w:szCs w:val="20"/>
          <w:u w:val="none"/>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12.1.2.3. O licitante será convocado para manifestação previamente à sua desclassificação.</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lang w:eastAsia="ar-SA"/>
        </w:rPr>
        <w:t xml:space="preserve">12.2. </w:t>
      </w:r>
      <w:r>
        <w:rPr>
          <w:rFonts w:cs="Verdana" w:ascii="Verdana" w:hAnsi="Verdana"/>
          <w:color w:val="000000"/>
          <w:sz w:val="20"/>
          <w:szCs w:val="20"/>
          <w:u w:val="none"/>
        </w:rPr>
        <w:t xml:space="preserve">Caso atendidas as condições de participação, </w:t>
      </w:r>
      <w:r>
        <w:rPr>
          <w:rFonts w:cs="Verdana" w:ascii="Verdana" w:hAnsi="Verdana"/>
          <w:sz w:val="20"/>
          <w:szCs w:val="20"/>
          <w:u w:val="none"/>
        </w:rPr>
        <w:t>a habilitação dos licitantes será verificada por meio do SICAF, nos documentos por ele abrangidos</w:t>
      </w:r>
      <w:r>
        <w:rPr>
          <w:rFonts w:cs="Verdana" w:ascii="Verdana" w:hAnsi="Verdana"/>
          <w:sz w:val="20"/>
          <w:szCs w:val="20"/>
          <w:u w:val="none"/>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lang w:eastAsia="ar-SA"/>
        </w:rPr>
        <w:t xml:space="preserve">12.2..1. </w:t>
      </w:r>
      <w:r>
        <w:rPr>
          <w:rFonts w:cs="Verdana" w:ascii="Verdana" w:hAnsi="Verdana"/>
          <w:sz w:val="20"/>
          <w:szCs w:val="20"/>
          <w:u w:val="none"/>
          <w:lang w:eastAsia="ar-SA"/>
        </w:rPr>
        <w:t xml:space="preserve">O interessado, para efeitos de habilitação prevista na Instrução Normativa </w:t>
      </w:r>
      <w:r>
        <w:rPr>
          <w:rFonts w:cs="Verdana" w:ascii="Verdana" w:hAnsi="Verdana"/>
          <w:b w:val="false"/>
          <w:bCs w:val="false"/>
          <w:sz w:val="20"/>
          <w:szCs w:val="20"/>
          <w:u w:val="none"/>
          <w:lang w:eastAsia="ar-SA"/>
        </w:rPr>
        <w:t>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rPr>
        <w:t>12.5. Não serão aceitos documentos de habilitação com indicação de CNPJ/CPF diferentes, salvo aqueles legalmente permitidos.</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sz w:val="20"/>
          <w:szCs w:val="20"/>
          <w:u w:val="none"/>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76" w:before="57" w:after="57"/>
        <w:ind w:hanging="0" w:left="0" w:right="0"/>
        <w:rPr>
          <w:sz w:val="20"/>
          <w:szCs w:val="20"/>
        </w:rPr>
      </w:pPr>
      <w:r>
        <w:rPr>
          <w:rFonts w:cs="Verdana" w:ascii="Verdana" w:hAnsi="Verdana"/>
          <w:b w:val="false"/>
          <w:bCs w:val="false"/>
          <w:color w:val="000000"/>
          <w:sz w:val="20"/>
          <w:szCs w:val="20"/>
          <w:u w:val="none"/>
        </w:rPr>
        <w:t>12.7.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sz w:val="20"/>
          <w:szCs w:val="20"/>
        </w:rPr>
      </w:pPr>
      <w:r>
        <w:rPr>
          <w:rFonts w:cs="Verdana" w:ascii="Verdana" w:hAnsi="Verdana"/>
          <w:b/>
          <w:bCs/>
          <w:color w:val="000000"/>
          <w:sz w:val="20"/>
          <w:szCs w:val="20"/>
          <w:u w:val="none"/>
        </w:rPr>
        <w:t>12.8. Habilitação jurídica:</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Verdana" w:hAnsi="Verdana"/>
          <w:b w:val="false"/>
          <w:bCs w:val="false"/>
          <w:color w:val="000000"/>
          <w:sz w:val="20"/>
          <w:szCs w:val="20"/>
          <w:u w:val="none"/>
        </w:rPr>
        <w:t xml:space="preserve">12.8.2. Em se tratando de microempreendedor individual – MEI: Certificado da Condição de Microempreendedor Individual – CCMEI, cuja aceitação ficará condicionada à verificação da autenticidade no sítio </w:t>
      </w:r>
      <w:hyperlink r:id="rId8">
        <w:r>
          <w:rPr>
            <w:rStyle w:val="ListLabel40"/>
            <w:rFonts w:cs="Verdana" w:ascii="Verdana" w:hAnsi="Verdana"/>
            <w:b w:val="false"/>
            <w:bCs w:val="false"/>
            <w:color w:val="000000"/>
            <w:sz w:val="20"/>
            <w:szCs w:val="20"/>
            <w:u w:val="none"/>
          </w:rPr>
          <w:t>www.portaldoempreendedor.gov.br</w:t>
        </w:r>
      </w:hyperlink>
      <w:r>
        <w:rPr>
          <w:rFonts w:cs="Verdana" w:ascii="Verdana" w:hAnsi="Verdana"/>
          <w:b w:val="false"/>
          <w:bCs w:val="false"/>
          <w:color w:val="000000"/>
          <w:sz w:val="20"/>
          <w:szCs w:val="20"/>
          <w:u w:val="none"/>
        </w:rPr>
        <w:t>;</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12.8.7. No caso de empresa ou sociedade estrangeira em funcionamento no País: decreto de autorização;</w:t>
      </w:r>
    </w:p>
    <w:p>
      <w:pPr>
        <w:pStyle w:val="ListParagraph"/>
        <w:spacing w:lineRule="auto" w:line="276" w:before="57" w:after="57"/>
        <w:ind w:hanging="0" w:left="0" w:right="0"/>
        <w:contextualSpacing w:val="false"/>
        <w:jc w:val="both"/>
        <w:rPr>
          <w:sz w:val="20"/>
          <w:szCs w:val="20"/>
        </w:rPr>
      </w:pPr>
      <w:r>
        <w:rPr>
          <w:rFonts w:cs="Verdana" w:ascii="Verdana" w:hAnsi="Verdana"/>
          <w:b w:val="false"/>
          <w:bCs w:val="false"/>
          <w:color w:val="000000"/>
          <w:sz w:val="20"/>
          <w:szCs w:val="20"/>
          <w:u w:val="none"/>
        </w:rPr>
        <w:t xml:space="preserve">12.8.8. </w:t>
      </w:r>
      <w:r>
        <w:rPr>
          <w:rFonts w:cs="Verdana" w:ascii="Verdana" w:hAnsi="Verdana"/>
          <w:bCs/>
          <w:color w:val="000000"/>
          <w:sz w:val="20"/>
          <w:szCs w:val="20"/>
          <w:u w:val="none"/>
        </w:rPr>
        <w:t>Os documentos acima deverão estar acompanhados de todas as alterações ou da consolidação respectiva.</w:t>
      </w:r>
    </w:p>
    <w:p>
      <w:pPr>
        <w:pStyle w:val="ListParagraph"/>
        <w:spacing w:lineRule="auto" w:line="276" w:before="57" w:after="57"/>
        <w:ind w:hanging="0" w:left="0" w:right="0"/>
        <w:contextualSpacing w:val="false"/>
        <w:jc w:val="both"/>
        <w:rPr>
          <w:sz w:val="20"/>
          <w:szCs w:val="20"/>
        </w:rPr>
      </w:pPr>
      <w:r>
        <w:rPr>
          <w:rFonts w:cs="Verdana" w:ascii="Verdana" w:hAnsi="Verdana"/>
          <w:b/>
          <w:color w:val="000000"/>
          <w:sz w:val="20"/>
          <w:szCs w:val="20"/>
          <w:u w:val="none"/>
        </w:rPr>
        <w:t>12.09. Qualificação Econômico-Financeira</w:t>
      </w:r>
      <w:r>
        <w:rPr>
          <w:rFonts w:cs="Verdana" w:ascii="Verdana" w:hAnsi="Verdana"/>
          <w:color w:val="000000"/>
          <w:sz w:val="20"/>
          <w:szCs w:val="20"/>
          <w:u w:val="none"/>
        </w:rPr>
        <w:t>.</w:t>
      </w:r>
    </w:p>
    <w:p>
      <w:pPr>
        <w:pStyle w:val="Normal"/>
        <w:tabs>
          <w:tab w:val="clear" w:pos="708"/>
          <w:tab w:val="left" w:pos="850" w:leader="none"/>
        </w:tabs>
        <w:spacing w:lineRule="auto" w:line="276" w:before="57" w:after="57"/>
        <w:ind w:hanging="0" w:left="0"/>
        <w:jc w:val="both"/>
        <w:rPr>
          <w:sz w:val="20"/>
          <w:szCs w:val="20"/>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276" w:before="57" w:after="57"/>
        <w:ind w:hanging="0" w:left="0"/>
        <w:jc w:val="both"/>
        <w:rPr>
          <w:sz w:val="20"/>
          <w:szCs w:val="20"/>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hanging="0" w:left="0" w:right="0"/>
        <w:jc w:val="both"/>
        <w:rPr>
          <w:sz w:val="20"/>
          <w:szCs w:val="20"/>
        </w:rPr>
      </w:pPr>
      <w:r>
        <w:rPr>
          <w:rFonts w:cs="Verdana" w:ascii="Verdana" w:hAnsi="Verdana"/>
          <w:b w:val="false"/>
          <w:bCs w:val="false"/>
          <w:sz w:val="20"/>
          <w:szCs w:val="20"/>
          <w:u w:val="none"/>
        </w:rPr>
        <w:t>12.</w:t>
      </w:r>
      <w:r>
        <w:rPr>
          <w:rFonts w:eastAsia="Times New Roman" w:cs="Verdana" w:ascii="Verdana" w:hAnsi="Verdana"/>
          <w:b w:val="false"/>
          <w:bCs w:val="false"/>
          <w:sz w:val="20"/>
          <w:szCs w:val="20"/>
          <w:u w:val="none"/>
        </w:rPr>
        <w:t>9</w:t>
      </w:r>
      <w:r>
        <w:rPr>
          <w:rFonts w:cs="Verdana" w:ascii="Verdana" w:hAnsi="Verdana"/>
          <w:b w:val="false"/>
          <w:bCs w:val="false"/>
          <w:sz w:val="20"/>
          <w:szCs w:val="20"/>
          <w:u w:val="none"/>
        </w:rPr>
        <w:t>.3.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276" w:before="57" w:after="57"/>
        <w:ind w:hanging="0" w:left="0" w:right="0"/>
        <w:jc w:val="both"/>
        <w:rPr>
          <w:sz w:val="20"/>
          <w:szCs w:val="20"/>
        </w:rPr>
      </w:pPr>
      <w:r>
        <w:rPr>
          <w:rFonts w:cs="Verdana" w:ascii="Verdana" w:hAnsi="Verdana"/>
          <w:b w:val="false"/>
          <w:bCs w:val="false"/>
          <w:iCs/>
          <w:color w:val="000000"/>
          <w:sz w:val="20"/>
          <w:szCs w:val="20"/>
          <w:u w:val="none"/>
          <w:lang w:eastAsia="en-US"/>
        </w:rPr>
        <w:t>12.</w:t>
      </w:r>
      <w:r>
        <w:rPr>
          <w:rFonts w:eastAsia="Times New Roman" w:cs="Verdana" w:ascii="Verdana" w:hAnsi="Verdana"/>
          <w:b w:val="false"/>
          <w:bCs w:val="false"/>
          <w:iCs/>
          <w:color w:val="000000"/>
          <w:sz w:val="20"/>
          <w:szCs w:val="20"/>
          <w:u w:val="none"/>
          <w:lang w:eastAsia="en-US"/>
        </w:rPr>
        <w:t>9</w:t>
      </w:r>
      <w:r>
        <w:rPr>
          <w:rFonts w:cs="Verdana" w:ascii="Verdana" w:hAnsi="Verdana"/>
          <w:b w:val="false"/>
          <w:bCs w:val="false"/>
          <w:iCs/>
          <w:color w:val="000000"/>
          <w:sz w:val="20"/>
          <w:szCs w:val="20"/>
          <w:u w:val="none"/>
          <w:lang w:eastAsia="en-US"/>
        </w:rPr>
        <w:t>.4.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sz w:val="20"/>
          <w:szCs w:val="20"/>
        </w:rPr>
      </w:pPr>
      <w:r>
        <w:rPr>
          <w:rFonts w:ascii="Verdana" w:hAnsi="Verdana"/>
          <w:b/>
          <w:bCs/>
          <w:sz w:val="20"/>
          <w:szCs w:val="20"/>
          <w:u w:val="none"/>
        </w:rPr>
        <w:t>13. CRITÉRIOS DE PAGAMENTO</w:t>
      </w:r>
    </w:p>
    <w:p>
      <w:pPr>
        <w:pStyle w:val="Normal"/>
        <w:spacing w:lineRule="auto" w:line="276" w:before="57" w:after="57"/>
        <w:ind w:hanging="0" w:left="0" w:right="0"/>
        <w:jc w:val="both"/>
        <w:rPr>
          <w:sz w:val="20"/>
          <w:szCs w:val="20"/>
        </w:rPr>
      </w:pPr>
      <w:r>
        <w:rPr>
          <w:rFonts w:ascii="Verdana" w:hAnsi="Verdana"/>
          <w:b w:val="false"/>
          <w:bCs w:val="false"/>
          <w:sz w:val="20"/>
          <w:szCs w:val="20"/>
          <w:u w:val="none"/>
          <w:lang w:eastAsia="en-US"/>
        </w:rPr>
        <w:t xml:space="preserve">13.1. Recebida a Nota Fiscal ou documento de cobrança equivalente, correrá o prazo de </w:t>
      </w:r>
      <w:r>
        <w:rPr>
          <w:rFonts w:eastAsia="Times New Roman" w:cs="Times New Roman" w:ascii="Verdana" w:hAnsi="Verdana"/>
          <w:b w:val="false"/>
          <w:bCs w:val="false"/>
          <w:sz w:val="20"/>
          <w:szCs w:val="20"/>
          <w:u w:val="none"/>
          <w:lang w:eastAsia="en-US"/>
        </w:rPr>
        <w:t>(30) trinta</w:t>
      </w:r>
      <w:r>
        <w:rPr>
          <w:rFonts w:ascii="Verdana" w:hAnsi="Verdana"/>
          <w:b w:val="false"/>
          <w:bCs w:val="false"/>
          <w:sz w:val="20"/>
          <w:szCs w:val="20"/>
          <w:u w:val="none"/>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Verdana" w:hAnsi="Verdana"/>
          <w:b w:val="false"/>
          <w:bCs w:val="false"/>
          <w:sz w:val="20"/>
          <w:szCs w:val="20"/>
          <w:u w:val="none"/>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41"/>
          <w:sz w:val="20"/>
          <w:u w:val="none"/>
          <w:b w:val="false"/>
          <w:szCs w:val="20"/>
          <w:bCs w:val="false"/>
          <w:rFonts w:ascii="Verdana" w:hAnsi="Verdana"/>
          <w:color w:val="000000"/>
        </w:rPr>
        <w:instrText xml:space="preserve"> HYPERLINK "http://www.planalto.gov.br/ccivil_03/_ato2019-2022/2021/lei/L14133.htm" \l "art75"</w:instrText>
      </w:r>
      <w:r>
        <w:rPr>
          <w:rStyle w:val="ListLabel41"/>
          <w:sz w:val="20"/>
          <w:u w:val="none"/>
          <w:b w:val="false"/>
          <w:szCs w:val="20"/>
          <w:bCs w:val="false"/>
          <w:rFonts w:ascii="Verdana" w:hAnsi="Verdana"/>
          <w:color w:val="000000"/>
        </w:rPr>
        <w:fldChar w:fldCharType="separate"/>
      </w:r>
      <w:r>
        <w:rPr>
          <w:rStyle w:val="ListLabel41"/>
          <w:rFonts w:ascii="Verdana" w:hAnsi="Verdana"/>
          <w:b w:val="false"/>
          <w:bCs w:val="false"/>
          <w:color w:val="000000"/>
          <w:sz w:val="20"/>
          <w:szCs w:val="20"/>
          <w:u w:val="none"/>
        </w:rPr>
        <w:t>inciso II do art. 75 da Lei nº 14.133, de 2021</w:t>
      </w:r>
      <w:r>
        <w:rPr>
          <w:rStyle w:val="ListLabel41"/>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76" w:before="57" w:after="57"/>
        <w:ind w:hanging="0" w:left="0" w:right="0"/>
        <w:jc w:val="both"/>
        <w:rPr>
          <w:sz w:val="20"/>
          <w:szCs w:val="20"/>
        </w:rPr>
      </w:pPr>
      <w:r>
        <w:rPr>
          <w:rFonts w:ascii="Verdana" w:hAnsi="Verdana"/>
          <w:b w:val="false"/>
          <w:bCs w:val="false"/>
          <w:sz w:val="20"/>
          <w:szCs w:val="20"/>
          <w:u w:val="none"/>
        </w:rPr>
        <w:t xml:space="preserve">1233. Para fins de liquidação, o setor competente deverá verificar se a nota fiscal ou instrumento de cobrança equivalente apresentado expressa os elementos necessários e essenciais do documento, tais como: </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O prazo de validade;</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 xml:space="preserve">A data da emissão; </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 xml:space="preserve">Os dados do contrato e do órgão contratante; </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 xml:space="preserve">O período respectivo de execução do contrato; </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 xml:space="preserve">O valor a pagar; e </w:t>
      </w:r>
    </w:p>
    <w:p>
      <w:pPr>
        <w:pStyle w:val="Normal"/>
        <w:numPr>
          <w:ilvl w:val="0"/>
          <w:numId w:val="3"/>
        </w:numPr>
        <w:tabs>
          <w:tab w:val="clear" w:pos="708"/>
          <w:tab w:val="left" w:pos="563" w:leader="none"/>
        </w:tabs>
        <w:spacing w:lineRule="auto" w:line="276" w:before="57" w:after="57"/>
        <w:jc w:val="both"/>
        <w:rPr>
          <w:sz w:val="20"/>
          <w:szCs w:val="20"/>
        </w:rPr>
      </w:pPr>
      <w:r>
        <w:rPr>
          <w:rFonts w:ascii="Verdana" w:hAnsi="Verdana"/>
          <w:b w:val="false"/>
          <w:bCs w:val="false"/>
          <w:sz w:val="20"/>
          <w:szCs w:val="20"/>
          <w:u w:val="none"/>
        </w:rPr>
        <w:t>Eventual destaque do valor de retenções tributárias cabíveis.</w:t>
      </w:r>
    </w:p>
    <w:p>
      <w:pPr>
        <w:pStyle w:val="Normal"/>
        <w:tabs>
          <w:tab w:val="clear" w:pos="708"/>
          <w:tab w:val="left" w:pos="0" w:leader="none"/>
          <w:tab w:val="left" w:pos="563" w:leader="none"/>
        </w:tabs>
        <w:spacing w:lineRule="auto" w:line="276" w:before="57" w:after="57"/>
        <w:ind w:hanging="0" w:left="0" w:right="0"/>
        <w:jc w:val="both"/>
        <w:rPr>
          <w:sz w:val="20"/>
          <w:szCs w:val="20"/>
        </w:rPr>
      </w:pPr>
      <w:r>
        <w:rPr>
          <w:rFonts w:ascii="Verdana" w:hAnsi="Verdana"/>
          <w:b w:val="false"/>
          <w:bCs w:val="false"/>
          <w:sz w:val="20"/>
          <w:szCs w:val="20"/>
          <w:u w:val="none"/>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Verdana" w:hAnsi="Verdana"/>
          <w:b w:val="false"/>
          <w:bCs w:val="false"/>
          <w:sz w:val="20"/>
          <w:szCs w:val="20"/>
          <w:u w:val="none"/>
        </w:rPr>
        <w:t>13.5. A</w:t>
      </w:r>
      <w:r>
        <w:rPr>
          <w:rFonts w:ascii="Verdana" w:hAnsi="Verdana"/>
          <w:b w:val="false"/>
          <w:bCs w:val="false"/>
          <w:sz w:val="20"/>
          <w:szCs w:val="20"/>
          <w:u w:val="none"/>
          <w:lang w:eastAsia="en-US"/>
        </w:rPr>
        <w:t xml:space="preserve"> nota fiscal ou instrumento de cobrança equivalente deverá ser obrigatoriamente acompanhado da comprovação da regularidade fiscal</w:t>
      </w:r>
      <w:r>
        <w:rPr>
          <w:rStyle w:val="InternetLink"/>
          <w:rFonts w:ascii="Verdana" w:hAnsi="Verdana"/>
          <w:b w:val="false"/>
          <w:bCs w:val="false"/>
          <w:sz w:val="20"/>
          <w:szCs w:val="20"/>
          <w:u w:val="none"/>
          <w:lang w:eastAsia="en-US"/>
        </w:rPr>
        <w:t>.</w:t>
      </w:r>
    </w:p>
    <w:p>
      <w:pPr>
        <w:pStyle w:val="Normal"/>
        <w:spacing w:lineRule="auto" w:line="276" w:before="57" w:after="57"/>
        <w:ind w:hanging="0" w:left="0" w:right="0"/>
        <w:jc w:val="both"/>
        <w:rPr>
          <w:sz w:val="20"/>
          <w:szCs w:val="20"/>
        </w:rPr>
      </w:pPr>
      <w:r>
        <w:rPr>
          <w:rFonts w:ascii="Verdana" w:hAnsi="Verdana"/>
          <w:b w:val="false"/>
          <w:bCs w:val="false"/>
          <w:sz w:val="20"/>
          <w:szCs w:val="20"/>
          <w:u w:val="none"/>
        </w:rPr>
        <w:t>13.6. O pagamento será efetuado no prazo de até 30 (trinta) dias úteis contados da finalização da liquidação da despesa.</w:t>
      </w:r>
    </w:p>
    <w:p>
      <w:pPr>
        <w:pStyle w:val="Normal"/>
        <w:spacing w:lineRule="auto" w:line="276" w:before="57" w:after="57"/>
        <w:ind w:hanging="0" w:left="0" w:right="0"/>
        <w:jc w:val="both"/>
        <w:rPr>
          <w:sz w:val="20"/>
          <w:szCs w:val="20"/>
        </w:rPr>
      </w:pPr>
      <w:r>
        <w:rPr>
          <w:rFonts w:ascii="Verdana" w:hAnsi="Verdana"/>
          <w:b w:val="false"/>
          <w:bCs w:val="false"/>
          <w:sz w:val="20"/>
          <w:szCs w:val="20"/>
          <w:u w:val="none"/>
        </w:rPr>
        <w:t>13.7. O pagamento será realizado por meio de ordem bancária, para crédito em banco, agência e conta corrente indicados pelo contratado.</w:t>
      </w:r>
    </w:p>
    <w:p>
      <w:pPr>
        <w:pStyle w:val="Normal"/>
        <w:spacing w:lineRule="auto" w:line="276" w:before="57" w:after="57"/>
        <w:ind w:hanging="0" w:left="0" w:right="0"/>
        <w:jc w:val="both"/>
        <w:rPr>
          <w:sz w:val="20"/>
          <w:szCs w:val="20"/>
        </w:rPr>
      </w:pPr>
      <w:r>
        <w:rPr>
          <w:rFonts w:ascii="Verdana" w:hAnsi="Verdana"/>
          <w:b w:val="false"/>
          <w:bCs w:val="false"/>
          <w:sz w:val="20"/>
          <w:szCs w:val="20"/>
          <w:u w:val="none"/>
        </w:rPr>
        <w:t>12.8. Será considerada data do pagamento o dia em que constar como emitida a ordem bancária para pagamento.</w:t>
      </w:r>
    </w:p>
    <w:p>
      <w:pPr>
        <w:pStyle w:val="Normal"/>
        <w:spacing w:lineRule="auto" w:line="276" w:before="57" w:after="57"/>
        <w:ind w:hanging="0" w:left="0" w:right="0"/>
        <w:jc w:val="both"/>
        <w:rPr>
          <w:sz w:val="20"/>
          <w:szCs w:val="20"/>
        </w:rPr>
      </w:pPr>
      <w:r>
        <w:rPr>
          <w:rFonts w:ascii="Verdana" w:hAnsi="Verdana"/>
          <w:b w:val="false"/>
          <w:bCs w:val="false"/>
          <w:sz w:val="20"/>
          <w:szCs w:val="20"/>
          <w:u w:val="none"/>
        </w:rPr>
        <w:t>13.9. Quando do pagamento, será efetuada a retenção tributária prevista na legislação aplicável.</w:t>
      </w:r>
    </w:p>
    <w:p>
      <w:pPr>
        <w:pStyle w:val="Normal"/>
        <w:spacing w:lineRule="auto" w:line="276" w:before="57" w:after="57"/>
        <w:ind w:hanging="0" w:left="0" w:right="0"/>
        <w:jc w:val="both"/>
        <w:rPr/>
      </w:pPr>
      <w:r>
        <w:rPr>
          <w:rFonts w:ascii="Verdana" w:hAnsi="Verdana"/>
          <w:b w:val="false"/>
          <w:bCs w:val="false"/>
          <w:sz w:val="20"/>
          <w:szCs w:val="20"/>
          <w:u w:val="none"/>
          <w:lang w:eastAsia="en-US"/>
        </w:rPr>
        <w:t xml:space="preserve">13.10. O contratado regularmente optante pelo Simples Nacional, nos termos da </w:t>
      </w:r>
      <w:hyperlink r:id="rId9">
        <w:r>
          <w:rPr>
            <w:rStyle w:val="ListLabel42"/>
            <w:rFonts w:ascii="Verdana" w:hAnsi="Verdana"/>
            <w:b w:val="false"/>
            <w:bCs w:val="false"/>
            <w:sz w:val="20"/>
            <w:szCs w:val="20"/>
            <w:u w:val="none"/>
            <w:lang w:eastAsia="en-US"/>
          </w:rPr>
          <w:t>Lei Complementar nº 123, de 2006</w:t>
        </w:r>
      </w:hyperlink>
      <w:r>
        <w:rPr>
          <w:rFonts w:ascii="Verdana" w:hAnsi="Verdana"/>
          <w:b w:val="false"/>
          <w:bCs w:val="false"/>
          <w:sz w:val="20"/>
          <w:szCs w:val="20"/>
          <w:u w:val="non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sz w:val="20"/>
          <w:szCs w:val="20"/>
        </w:rPr>
      </w:pPr>
      <w:r>
        <w:rPr>
          <w:rFonts w:ascii="Verdana" w:hAnsi="Verdana"/>
          <w:b w:val="false"/>
          <w:bCs w:val="false"/>
          <w:sz w:val="20"/>
          <w:szCs w:val="20"/>
          <w:u w:val="none"/>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76" w:before="57" w:after="57"/>
        <w:ind w:hanging="0" w:left="0" w:right="0"/>
        <w:contextualSpacing w:val="false"/>
        <w:jc w:val="both"/>
        <w:rPr>
          <w:sz w:val="20"/>
          <w:szCs w:val="20"/>
        </w:rPr>
      </w:pPr>
      <w:r>
        <w:rPr>
          <w:rFonts w:ascii="Verdana" w:hAnsi="Verdana"/>
          <w:b w:val="false"/>
          <w:bCs w:val="false"/>
          <w:color w:val="000000"/>
          <w:sz w:val="20"/>
          <w:szCs w:val="20"/>
          <w:u w:val="none"/>
        </w:rPr>
        <w:t xml:space="preserve">13.11. </w:t>
      </w:r>
      <w:r>
        <w:rPr>
          <w:rFonts w:ascii="Verdana" w:hAnsi="Verdana"/>
          <w:b w:val="false"/>
          <w:bCs w:val="false"/>
          <w:sz w:val="20"/>
          <w:szCs w:val="20"/>
          <w:u w:val="none"/>
        </w:rPr>
        <w:t xml:space="preserve"> Após o pra</w:t>
      </w:r>
      <w:r>
        <w:rPr>
          <w:rFonts w:ascii="Verdana" w:hAnsi="Verdana"/>
          <w:sz w:val="20"/>
          <w:szCs w:val="20"/>
          <w:u w:val="none"/>
        </w:rPr>
        <w:t>zo acima referenciado, será paga multa financeira nos seguintes termos:</w:t>
      </w:r>
    </w:p>
    <w:p>
      <w:pPr>
        <w:pStyle w:val="PargrafodaLista"/>
        <w:tabs>
          <w:tab w:val="clear" w:pos="708"/>
          <w:tab w:val="left" w:pos="518" w:leader="none"/>
        </w:tabs>
        <w:spacing w:lineRule="auto" w:line="276" w:before="57" w:after="57"/>
        <w:ind w:hanging="0" w:left="0" w:right="0"/>
        <w:contextualSpacing w:val="false"/>
        <w:jc w:val="center"/>
        <w:rPr>
          <w:sz w:val="20"/>
          <w:szCs w:val="20"/>
        </w:rPr>
      </w:pPr>
      <w:r>
        <w:rPr>
          <w:rFonts w:cs="Verdana" w:ascii="Verdana" w:hAnsi="Verdana"/>
          <w:sz w:val="20"/>
          <w:szCs w:val="20"/>
          <w:u w:val="none"/>
        </w:rPr>
        <w:t xml:space="preserve">VM = </w:t>
      </w:r>
      <w:r>
        <w:rPr>
          <w:rFonts w:cs="Verdana" w:ascii="Verdana" w:hAnsi="Verdana"/>
          <w:sz w:val="20"/>
          <w:szCs w:val="20"/>
          <w:u w:val="single"/>
        </w:rPr>
        <w:t xml:space="preserve">VF </w:t>
      </w:r>
      <w:r>
        <w:rPr>
          <w:rFonts w:cs="Verdana" w:ascii="Verdana" w:hAnsi="Verdana"/>
          <w:sz w:val="20"/>
          <w:szCs w:val="20"/>
          <w:u w:val="single"/>
          <w:vertAlign w:val="subscript"/>
        </w:rPr>
        <w:t>*</w:t>
      </w:r>
      <w:r>
        <w:rPr>
          <w:rFonts w:cs="Verdana" w:ascii="Verdana" w:hAnsi="Verdana"/>
          <w:sz w:val="20"/>
          <w:szCs w:val="20"/>
          <w:u w:val="single"/>
        </w:rPr>
        <w:t xml:space="preserve"> 0,33 </w:t>
      </w:r>
      <w:r>
        <w:rPr>
          <w:rFonts w:cs="Verdana" w:ascii="Verdana" w:hAnsi="Verdana"/>
          <w:sz w:val="20"/>
          <w:szCs w:val="20"/>
          <w:u w:val="single"/>
          <w:vertAlign w:val="subscript"/>
        </w:rPr>
        <w:t>*</w:t>
      </w:r>
      <w:r>
        <w:rPr>
          <w:rFonts w:cs="Verdana" w:ascii="Verdana" w:hAnsi="Verdana"/>
          <w:sz w:val="20"/>
          <w:szCs w:val="20"/>
          <w:u w:val="single"/>
        </w:rPr>
        <w:t xml:space="preserve"> ND</w:t>
      </w:r>
    </w:p>
    <w:p>
      <w:pPr>
        <w:pStyle w:val="PargrafodaLista"/>
        <w:tabs>
          <w:tab w:val="clear" w:pos="708"/>
          <w:tab w:val="left" w:pos="518" w:leader="none"/>
        </w:tabs>
        <w:spacing w:lineRule="auto" w:line="276" w:before="57" w:after="57"/>
        <w:ind w:hanging="0" w:left="0" w:right="0"/>
        <w:contextualSpacing w:val="false"/>
        <w:jc w:val="center"/>
        <w:rPr>
          <w:sz w:val="20"/>
          <w:szCs w:val="20"/>
        </w:rPr>
      </w:pPr>
      <w:r>
        <w:rPr>
          <w:rFonts w:cs="Verdana" w:ascii="Verdana" w:hAnsi="Verdana"/>
          <w:sz w:val="20"/>
          <w:szCs w:val="20"/>
          <w:u w:val="none"/>
        </w:rPr>
        <w:t>100</w:t>
      </w:r>
    </w:p>
    <w:p>
      <w:pPr>
        <w:pStyle w:val="Normal"/>
        <w:suppressAutoHyphens w:val="false"/>
        <w:spacing w:lineRule="auto" w:line="276" w:before="57" w:after="57"/>
        <w:ind w:hanging="0" w:left="0"/>
        <w:rPr>
          <w:sz w:val="20"/>
          <w:szCs w:val="20"/>
        </w:rPr>
      </w:pPr>
      <w:r>
        <w:rPr>
          <w:rFonts w:cs="Arial" w:ascii="Verdana" w:hAnsi="Verdana"/>
          <w:color w:val="000000"/>
          <w:sz w:val="20"/>
          <w:szCs w:val="20"/>
          <w:u w:val="none"/>
        </w:rPr>
        <w:t xml:space="preserve">Onde: </w:t>
      </w:r>
    </w:p>
    <w:p>
      <w:pPr>
        <w:pStyle w:val="Normal"/>
        <w:suppressAutoHyphens w:val="false"/>
        <w:spacing w:lineRule="auto" w:line="276" w:before="57" w:after="57"/>
        <w:ind w:hanging="0" w:left="0"/>
        <w:rPr>
          <w:sz w:val="20"/>
          <w:szCs w:val="20"/>
        </w:rPr>
      </w:pPr>
      <w:r>
        <w:rPr>
          <w:rFonts w:cs="Arial" w:ascii="Verdana" w:hAnsi="Verdana"/>
          <w:color w:val="000000"/>
          <w:sz w:val="20"/>
          <w:szCs w:val="20"/>
          <w:u w:val="none"/>
        </w:rPr>
        <w:t xml:space="preserve">VM = Valor da Multa Financeira; </w:t>
      </w:r>
    </w:p>
    <w:p>
      <w:pPr>
        <w:pStyle w:val="Normal"/>
        <w:suppressAutoHyphens w:val="false"/>
        <w:spacing w:lineRule="auto" w:line="276" w:before="57" w:after="57"/>
        <w:ind w:hanging="0" w:left="0"/>
        <w:rPr>
          <w:sz w:val="20"/>
          <w:szCs w:val="20"/>
        </w:rPr>
      </w:pPr>
      <w:r>
        <w:rPr>
          <w:rFonts w:cs="Arial" w:ascii="Verdana" w:hAnsi="Verdana"/>
          <w:color w:val="000000"/>
          <w:sz w:val="20"/>
          <w:szCs w:val="20"/>
          <w:u w:val="none"/>
        </w:rPr>
        <w:t xml:space="preserve">VF = Valor da Nota Fiscal; </w:t>
      </w:r>
    </w:p>
    <w:p>
      <w:pPr>
        <w:pStyle w:val="PargrafodaLista"/>
        <w:tabs>
          <w:tab w:val="clear" w:pos="708"/>
          <w:tab w:val="left" w:pos="518" w:leader="none"/>
        </w:tabs>
        <w:spacing w:lineRule="auto" w:line="276" w:before="57" w:after="57"/>
        <w:ind w:hanging="0" w:left="0" w:right="0"/>
        <w:contextualSpacing w:val="false"/>
        <w:rPr>
          <w:sz w:val="20"/>
          <w:szCs w:val="20"/>
        </w:rPr>
      </w:pPr>
      <w:r>
        <w:rPr>
          <w:rFonts w:eastAsia="Times New Roman" w:cs="Arial" w:ascii="Verdana" w:hAnsi="Verdana"/>
          <w:color w:val="000000"/>
          <w:sz w:val="20"/>
          <w:szCs w:val="20"/>
          <w:u w:val="none"/>
        </w:rPr>
        <w:t>ND = Número de dias em atraso.</w:t>
      </w:r>
    </w:p>
    <w:p>
      <w:pPr>
        <w:pStyle w:val="PargrafodaLista"/>
        <w:tabs>
          <w:tab w:val="clear" w:pos="708"/>
          <w:tab w:val="left" w:pos="518" w:leader="none"/>
        </w:tabs>
        <w:spacing w:lineRule="auto" w:line="276" w:before="57" w:after="57"/>
        <w:ind w:hanging="0" w:left="0" w:right="0"/>
        <w:contextualSpacing w:val="false"/>
        <w:rPr>
          <w:sz w:val="20"/>
          <w:szCs w:val="20"/>
        </w:rPr>
      </w:pPr>
      <w:r>
        <w:rPr>
          <w:rFonts w:eastAsia="Times New Roman" w:cs="Arial" w:ascii="Verdana" w:hAnsi="Verdana"/>
          <w:b w:val="false"/>
          <w:bCs w:val="false"/>
          <w:color w:val="000000"/>
          <w:sz w:val="20"/>
          <w:szCs w:val="20"/>
          <w:u w:val="none"/>
        </w:rPr>
        <w:t xml:space="preserve">13.12.. </w:t>
      </w:r>
      <w:r>
        <w:rPr>
          <w:rFonts w:cs="Arial" w:ascii="Verdana" w:hAnsi="Verdana"/>
          <w:b w:val="false"/>
          <w:bCs w:val="false"/>
          <w:color w:val="000000"/>
          <w:sz w:val="20"/>
          <w:szCs w:val="20"/>
          <w:u w:val="none"/>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76" w:before="57" w:after="57"/>
        <w:ind w:hanging="0" w:left="0" w:right="0"/>
        <w:contextualSpacing w:val="false"/>
        <w:rPr>
          <w:sz w:val="20"/>
          <w:szCs w:val="20"/>
        </w:rPr>
      </w:pPr>
      <w:r>
        <w:rPr>
          <w:rFonts w:eastAsia="Times New Roman" w:cs="Arial" w:ascii="Verdana" w:hAnsi="Verdana"/>
          <w:b w:val="false"/>
          <w:bCs w:val="false"/>
          <w:color w:val="000000"/>
          <w:sz w:val="20"/>
          <w:szCs w:val="20"/>
          <w:u w:val="none"/>
        </w:rPr>
        <w:t>13.13.</w:t>
      </w:r>
      <w:r>
        <w:rPr>
          <w:rFonts w:cs="Arial" w:ascii="Verdana" w:hAnsi="Verdana"/>
          <w:b w:val="false"/>
          <w:bCs w:val="false"/>
          <w:color w:val="000000"/>
          <w:sz w:val="20"/>
          <w:szCs w:val="20"/>
          <w:u w:val="none"/>
        </w:rPr>
        <w:t xml:space="preserve"> Qualquer alteração feita no contrato social, ato constitutivo ou estatuto deverá ser ois comunicado ao CONTRATANTE, mediante documentação própria, para apreciação da autoridade competente. </w:t>
      </w:r>
      <w:r>
        <w:rPr>
          <w:rFonts w:eastAsia="Times New Roman" w:cs="Arial" w:ascii="Verdana" w:hAnsi="Verdana"/>
          <w:b w:val="false"/>
          <w:bCs w:val="false"/>
          <w:color w:val="000000"/>
          <w:sz w:val="20"/>
          <w:szCs w:val="20"/>
          <w:u w:val="none"/>
        </w:rPr>
        <w:t xml:space="preserve">13.14.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r>
        <w:rPr>
          <w:rFonts w:cs="Arial" w:ascii="Verdana" w:hAnsi="Verdana"/>
          <w:b w:val="false"/>
          <w:bCs w:val="false"/>
          <w:sz w:val="20"/>
          <w:szCs w:val="20"/>
          <w:u w:val="none"/>
        </w:rPr>
        <w:t xml:space="preserve">13.15. </w:t>
      </w:r>
      <w:r>
        <w:rPr>
          <w:rFonts w:cs="Arial" w:ascii="Verdana" w:hAnsi="Verdana"/>
          <w:b w:val="false"/>
          <w:bCs w:val="false"/>
          <w:sz w:val="20"/>
          <w:szCs w:val="20"/>
          <w:u w:val="none"/>
          <w:lang w:eastAsia="en-US"/>
        </w:rPr>
        <w:t xml:space="preserve">Para a efetivação do pagamento, a CONTRATADA deverá manter as mesmas </w:t>
      </w:r>
      <w:r>
        <w:rPr>
          <w:rFonts w:cs="Arial" w:ascii="Verdana" w:hAnsi="Verdana"/>
          <w:b w:val="false"/>
          <w:bCs w:val="false"/>
          <w:sz w:val="20"/>
          <w:szCs w:val="20"/>
          <w:u w:val="none"/>
          <w:lang w:eastAsia="pt-BR"/>
        </w:rPr>
        <w:t>condições relativas à proposta de preço e a habilitação.</w:t>
      </w:r>
    </w:p>
    <w:p>
      <w:pPr>
        <w:pStyle w:val="Default"/>
        <w:tabs>
          <w:tab w:val="clear" w:pos="708"/>
          <w:tab w:val="left" w:pos="563"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ormal"/>
        <w:suppressAutoHyphens w:val="false"/>
        <w:spacing w:lineRule="auto" w:line="276" w:before="57" w:after="57"/>
        <w:ind w:hanging="0" w:left="0"/>
        <w:jc w:val="both"/>
        <w:rPr>
          <w:sz w:val="20"/>
          <w:szCs w:val="20"/>
        </w:rPr>
      </w:pPr>
      <w:r>
        <w:rPr>
          <w:rFonts w:cs="Arial" w:ascii="Verdana" w:hAnsi="Verdana"/>
          <w:b/>
          <w:sz w:val="20"/>
          <w:szCs w:val="20"/>
        </w:rPr>
        <w:t>14. CONTRATAÇÕES CORRELATAS E/OU INTERDEPENDENTES</w:t>
      </w:r>
    </w:p>
    <w:p>
      <w:pPr>
        <w:pStyle w:val="Normal"/>
        <w:suppressAutoHyphens w:val="false"/>
        <w:spacing w:lineRule="auto" w:line="276" w:before="57" w:after="57"/>
        <w:ind w:hanging="0" w:left="0"/>
        <w:jc w:val="both"/>
        <w:rPr>
          <w:sz w:val="20"/>
          <w:szCs w:val="20"/>
        </w:rPr>
      </w:pPr>
      <w:r>
        <w:rPr>
          <w:rFonts w:cs="Arial" w:ascii="Verdana" w:hAnsi="Verdana"/>
          <w:b w:val="false"/>
          <w:bCs w:val="false"/>
          <w:sz w:val="20"/>
          <w:szCs w:val="20"/>
        </w:rPr>
        <w:t>14.1</w:t>
      </w:r>
      <w:r>
        <w:rPr>
          <w:rFonts w:cs="Arial" w:ascii="Verdana" w:hAnsi="Verdana"/>
          <w:b/>
          <w:bCs/>
          <w:sz w:val="20"/>
          <w:szCs w:val="20"/>
        </w:rPr>
        <w:t>.</w:t>
      </w:r>
      <w:r>
        <w:rPr>
          <w:rFonts w:cs="Arial" w:ascii="Verdana" w:hAnsi="Verdana"/>
          <w:sz w:val="20"/>
          <w:szCs w:val="20"/>
        </w:rPr>
        <w:t xml:space="preserve"> Não se verifica contratações correlatas ou interdependentes para a viabilidade e contratação desta demanda.</w:t>
      </w:r>
    </w:p>
    <w:p>
      <w:pPr>
        <w:pStyle w:val="Normal"/>
        <w:suppressAutoHyphens w:val="false"/>
        <w:spacing w:lineRule="auto" w:line="276" w:before="57" w:after="57"/>
        <w:ind w:hanging="0" w:left="0"/>
        <w:jc w:val="both"/>
        <w:rPr>
          <w:rFonts w:ascii="Verdana" w:hAnsi="Verdana" w:cs="Arial"/>
          <w:sz w:val="20"/>
          <w:szCs w:val="20"/>
        </w:rPr>
      </w:pPr>
      <w:r>
        <w:rPr>
          <w:rFonts w:cs="Arial" w:ascii="Verdana" w:hAnsi="Verdana"/>
          <w:sz w:val="20"/>
          <w:szCs w:val="20"/>
        </w:rPr>
      </w:r>
    </w:p>
    <w:p>
      <w:pPr>
        <w:pStyle w:val="Normal"/>
        <w:spacing w:lineRule="auto" w:line="276" w:before="57" w:after="57"/>
        <w:ind w:hanging="0" w:left="0"/>
        <w:jc w:val="both"/>
        <w:rPr>
          <w:sz w:val="20"/>
          <w:szCs w:val="20"/>
        </w:rPr>
      </w:pPr>
      <w:r>
        <w:rPr>
          <w:rFonts w:cs="Arial" w:ascii="Verdana" w:hAnsi="Verdana"/>
          <w:b/>
          <w:sz w:val="20"/>
          <w:szCs w:val="20"/>
        </w:rPr>
        <w:t>15. PROVIDÊNCIAS A SEREM ADOTADAS</w:t>
      </w:r>
    </w:p>
    <w:p>
      <w:pPr>
        <w:pStyle w:val="Normal"/>
        <w:spacing w:lineRule="auto" w:line="276" w:before="57" w:after="57"/>
        <w:ind w:hanging="0" w:left="0"/>
        <w:jc w:val="both"/>
        <w:rPr>
          <w:sz w:val="20"/>
          <w:szCs w:val="20"/>
        </w:rPr>
      </w:pPr>
      <w:r>
        <w:rPr>
          <w:rFonts w:cs="Arial" w:ascii="Verdana" w:hAnsi="Verdana"/>
          <w:b w:val="false"/>
          <w:bCs w:val="false"/>
          <w:sz w:val="20"/>
          <w:szCs w:val="20"/>
        </w:rPr>
        <w:t>15.1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76" w:before="57" w:after="57"/>
        <w:ind w:hanging="0" w:left="0"/>
        <w:jc w:val="both"/>
        <w:rPr>
          <w:sz w:val="20"/>
          <w:szCs w:val="20"/>
        </w:rPr>
      </w:pPr>
      <w:r>
        <w:rPr>
          <w:rFonts w:cs="Arial" w:ascii="Verdana" w:hAnsi="Verdana"/>
          <w:b w:val="false"/>
          <w:bCs w:val="false"/>
          <w:sz w:val="20"/>
          <w:szCs w:val="20"/>
        </w:rPr>
        <w:t xml:space="preserve">15.2 </w:t>
      </w:r>
      <w:r>
        <w:rPr>
          <w:rFonts w:cs="Arial" w:ascii="Verdana" w:hAnsi="Verdana"/>
          <w:sz w:val="20"/>
          <w:szCs w:val="20"/>
        </w:rPr>
        <w:t xml:space="preserve">No caso de interrupção das entregas, por parte da contratada, o gestor do contrato tomará as providências cabíveis, de acordo com cláusulas do edital e contrato. </w:t>
      </w:r>
    </w:p>
    <w:p>
      <w:pPr>
        <w:pStyle w:val="Normal"/>
        <w:spacing w:lineRule="auto" w:line="276" w:before="57" w:after="57"/>
        <w:ind w:hanging="0" w:lef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hanging="0" w:left="0"/>
        <w:jc w:val="both"/>
        <w:rPr>
          <w:sz w:val="20"/>
          <w:szCs w:val="20"/>
        </w:rPr>
      </w:pPr>
      <w:r>
        <w:rPr>
          <w:rFonts w:cs="Arial" w:ascii="Verdana" w:hAnsi="Verdana"/>
          <w:b/>
          <w:sz w:val="20"/>
          <w:szCs w:val="20"/>
        </w:rPr>
        <w:t>16. POSSÍVEIS IMPACTOS AMBIENTAIS</w:t>
      </w:r>
    </w:p>
    <w:p>
      <w:pPr>
        <w:pStyle w:val="Normal"/>
        <w:spacing w:lineRule="auto" w:line="276" w:before="57" w:after="57"/>
        <w:ind w:hanging="0" w:left="0"/>
        <w:jc w:val="both"/>
        <w:rPr>
          <w:sz w:val="20"/>
          <w:szCs w:val="20"/>
        </w:rPr>
      </w:pPr>
      <w:r>
        <w:rPr>
          <w:rFonts w:ascii="Verdana" w:hAnsi="Verdana"/>
          <w:sz w:val="20"/>
          <w:szCs w:val="20"/>
        </w:rPr>
        <w:t>16.1 Não se verifica impactos ambientais da contratação.</w:t>
      </w:r>
    </w:p>
    <w:p>
      <w:pPr>
        <w:pStyle w:val="Normal"/>
        <w:spacing w:lineRule="auto" w:line="276" w:before="57" w:after="57"/>
        <w:ind w:hanging="0" w:left="0"/>
        <w:jc w:val="both"/>
        <w:rPr>
          <w:sz w:val="20"/>
          <w:szCs w:val="20"/>
        </w:rPr>
      </w:pPr>
      <w:r>
        <w:rPr>
          <w:rFonts w:cs="Arial" w:ascii="Verdana" w:hAnsi="Verdana"/>
          <w:b/>
          <w:sz w:val="20"/>
          <w:szCs w:val="20"/>
        </w:rPr>
        <w:t>17. DECLARAÇÃO E JUSTIFICATIVA DA VIABILIDADE</w:t>
      </w:r>
    </w:p>
    <w:p>
      <w:pPr>
        <w:pStyle w:val="normal3"/>
        <w:spacing w:lineRule="auto" w:line="276" w:before="57" w:after="57"/>
        <w:ind w:hanging="0" w:left="0"/>
        <w:jc w:val="both"/>
        <w:rPr>
          <w:sz w:val="20"/>
          <w:szCs w:val="20"/>
        </w:rPr>
      </w:pPr>
      <w:r>
        <w:rPr>
          <w:rFonts w:ascii="Verdana" w:hAnsi="Verdana"/>
          <w:b w:val="false"/>
          <w:bCs w:val="false"/>
          <w:sz w:val="20"/>
          <w:szCs w:val="20"/>
        </w:rPr>
        <w:t>a)Neste sentido, a equipe de planejamento deste ETP e de acordo com a autoridade deste requerente, declara viável esta contratação, com base nos elementos apresentados neste documento.</w:t>
      </w:r>
    </w:p>
    <w:p>
      <w:pPr>
        <w:pStyle w:val="Normal"/>
        <w:spacing w:lineRule="auto" w:line="276" w:before="57" w:after="57"/>
        <w:ind w:hanging="0" w:left="0"/>
        <w:jc w:val="both"/>
        <w:rPr>
          <w:sz w:val="20"/>
          <w:szCs w:val="20"/>
        </w:rPr>
      </w:pPr>
      <w:r>
        <w:rPr>
          <w:rFonts w:cs="Arial" w:ascii="Verdana" w:hAnsi="Verdana"/>
          <w:b w:val="false"/>
          <w:bCs w:val="false"/>
          <w:sz w:val="20"/>
          <w:szCs w:val="20"/>
          <w:u w:val="none"/>
          <w:lang w:eastAsia="pt-BR"/>
        </w:rPr>
        <w:t>b)Considerando que os serviços se constituem de aquisição de gêneros alimentícios por meio de pregão eletrônico, para atender as necessidades das Escolas da Rede Pública Municipal de São Gabriel da Palha, através do Programa Nacional de Alimentação Escolar.</w:t>
      </w:r>
    </w:p>
    <w:p>
      <w:pPr>
        <w:pStyle w:val="Default"/>
        <w:tabs>
          <w:tab w:val="clear" w:pos="708"/>
          <w:tab w:val="left" w:pos="563" w:leader="none"/>
        </w:tabs>
        <w:spacing w:lineRule="auto" w:line="276" w:before="57" w:after="57"/>
        <w:ind w:hanging="0" w:left="0" w:right="0"/>
        <w:jc w:val="both"/>
        <w:rPr>
          <w:rFonts w:ascii="Verdana" w:hAnsi="Verdana" w:cs="Arial"/>
          <w:b/>
          <w:sz w:val="20"/>
          <w:szCs w:val="20"/>
          <w:u w:val="none"/>
        </w:rPr>
      </w:pPr>
      <w:r>
        <w:rPr>
          <w:rFonts w:cs="Arial" w:ascii="Verdana" w:hAnsi="Verdana"/>
          <w:b/>
          <w:sz w:val="20"/>
          <w:szCs w:val="20"/>
          <w:u w:val="none"/>
        </w:rPr>
      </w:r>
    </w:p>
    <w:p>
      <w:pPr>
        <w:pStyle w:val="Normal"/>
        <w:spacing w:lineRule="auto" w:line="276" w:before="57" w:after="57"/>
        <w:ind w:hanging="0" w:left="0" w:right="0"/>
        <w:jc w:val="both"/>
        <w:rPr>
          <w:sz w:val="20"/>
          <w:szCs w:val="20"/>
        </w:rPr>
      </w:pPr>
      <w:r>
        <w:rPr>
          <w:rFonts w:ascii="Verdana" w:hAnsi="Verdana"/>
          <w:b/>
          <w:bCs/>
          <w:sz w:val="20"/>
          <w:szCs w:val="20"/>
          <w:u w:val="none"/>
        </w:rPr>
        <w:t xml:space="preserve">18. ADEQUAÇÃO ORÇAMENTÁRIA </w:t>
      </w:r>
    </w:p>
    <w:p>
      <w:pPr>
        <w:pStyle w:val="Normal"/>
        <w:spacing w:lineRule="auto" w:line="276" w:before="57" w:after="57"/>
        <w:ind w:hanging="0" w:left="0" w:right="0"/>
        <w:jc w:val="both"/>
        <w:rPr>
          <w:sz w:val="20"/>
          <w:szCs w:val="20"/>
        </w:rPr>
      </w:pPr>
      <w:r>
        <w:rPr>
          <w:rFonts w:ascii="Verdana" w:hAnsi="Verdana"/>
          <w:sz w:val="20"/>
          <w:szCs w:val="20"/>
          <w:u w:val="none"/>
        </w:rPr>
        <w:t>18.1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numPr>
          <w:ilvl w:val="0"/>
          <w:numId w:val="1"/>
        </w:numPr>
        <w:spacing w:lineRule="auto" w:line="276" w:before="57" w:after="57"/>
        <w:ind w:hanging="0" w:left="0"/>
        <w:jc w:val="both"/>
        <w:rPr>
          <w:sz w:val="20"/>
          <w:szCs w:val="20"/>
        </w:rPr>
      </w:pPr>
      <w:r>
        <w:rPr>
          <w:rFonts w:ascii="Verdana" w:hAnsi="Verdana"/>
          <w:b w:val="false"/>
          <w:bCs w:val="false"/>
          <w:i w:val="false"/>
          <w:iCs w:val="false"/>
          <w:strike w:val="false"/>
          <w:dstrike w:val="false"/>
          <w:outline w:val="false"/>
          <w:shadow w:val="false"/>
          <w:color w:val="000000"/>
          <w:sz w:val="20"/>
          <w:szCs w:val="20"/>
          <w:u w:val="none"/>
          <w:shd w:fill="auto" w:val="clear"/>
        </w:rPr>
        <w:t>FICHA - FONTE 00598</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w:t>
      </w:r>
      <w:r>
        <w:rPr>
          <w:rFonts w:ascii="Verdana" w:hAnsi="Verdana"/>
          <w:b w:val="false"/>
          <w:bCs w:val="false"/>
          <w:i w:val="false"/>
          <w:iCs w:val="false"/>
          <w:strike w:val="false"/>
          <w:dstrike w:val="false"/>
          <w:outline w:val="false"/>
          <w:shadow w:val="false"/>
          <w:color w:val="000000"/>
          <w:sz w:val="20"/>
          <w:szCs w:val="20"/>
          <w:u w:val="none"/>
          <w:shd w:fill="auto" w:val="clear"/>
        </w:rPr>
        <w:t>15000002500000 o valor de</w:t>
      </w: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t xml:space="preserve">  R$ 842.572,70 (oitocentos e quarenta e dois mil quinhentos e setenta e dois reais e setenta centavos)</w:t>
      </w:r>
    </w:p>
    <w:p>
      <w:pPr>
        <w:pStyle w:val="Normal"/>
        <w:numPr>
          <w:ilvl w:val="0"/>
          <w:numId w:val="0"/>
        </w:numPr>
        <w:spacing w:lineRule="auto" w:line="276" w:before="57" w:after="57"/>
        <w:ind w:hanging="0" w:left="0"/>
        <w:jc w:val="both"/>
        <w:rPr>
          <w:rFonts w:ascii="Verdana" w:hAnsi="Verdana"/>
          <w:sz w:val="20"/>
          <w:szCs w:val="20"/>
          <w:shd w:fill="auto" w:val="clear"/>
        </w:rPr>
      </w:pPr>
      <w:r>
        <w:rPr>
          <w:rFonts w:ascii="Verdana" w:hAnsi="Verdana"/>
          <w:sz w:val="20"/>
          <w:szCs w:val="20"/>
          <w:shd w:fill="auto" w:val="clear"/>
        </w:rPr>
      </w:r>
    </w:p>
    <w:p>
      <w:pPr>
        <w:pStyle w:val="Normal"/>
        <w:spacing w:lineRule="auto" w:line="276" w:before="57" w:after="57"/>
        <w:ind w:hanging="0" w:left="0"/>
        <w:jc w:val="both"/>
        <w:rPr>
          <w:sz w:val="20"/>
          <w:szCs w:val="20"/>
        </w:rPr>
      </w:pPr>
      <w:r>
        <w:rPr>
          <w:rFonts w:ascii="Verdana" w:hAnsi="Verdana"/>
          <w:b/>
          <w:bCs/>
          <w:sz w:val="20"/>
          <w:szCs w:val="20"/>
          <w:u w:val="none"/>
        </w:rPr>
        <w:t>19.</w:t>
      </w:r>
      <w:r>
        <w:rPr>
          <w:rFonts w:ascii="Verdana" w:hAnsi="Verdana"/>
          <w:sz w:val="20"/>
          <w:szCs w:val="20"/>
          <w:u w:val="none"/>
        </w:rPr>
        <w:t xml:space="preserve"> </w:t>
      </w:r>
      <w:r>
        <w:rPr>
          <w:rFonts w:cs="Arial" w:ascii="Verdana" w:hAnsi="Verdana"/>
          <w:b/>
          <w:bCs/>
          <w:color w:val="000000"/>
          <w:sz w:val="20"/>
          <w:szCs w:val="20"/>
          <w:u w:val="none"/>
        </w:rPr>
        <w:t>DOS RESPONSÁVEIS PELA ELABORAÇÃO DO TERMO DE REFERÊNCIA</w:t>
      </w:r>
    </w:p>
    <w:p>
      <w:pPr>
        <w:pStyle w:val="Normal"/>
        <w:spacing w:lineRule="auto" w:line="276" w:before="57" w:after="57"/>
        <w:ind w:hanging="0" w:left="0" w:right="0"/>
        <w:jc w:val="both"/>
        <w:rPr>
          <w:sz w:val="20"/>
          <w:szCs w:val="20"/>
        </w:rPr>
      </w:pPr>
      <w:r>
        <w:rPr>
          <w:rFonts w:eastAsia="Times New Roman" w:cs="Arial" w:ascii="Verdana" w:hAnsi="Verdana"/>
          <w:b w:val="false"/>
          <w:bCs w:val="false"/>
          <w:color w:val="000000"/>
          <w:sz w:val="20"/>
          <w:szCs w:val="20"/>
          <w:u w:val="none"/>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pPr>
        <w:pStyle w:val="Normal"/>
        <w:spacing w:lineRule="auto" w:line="276" w:before="57" w:after="57"/>
        <w:ind w:hanging="0" w:left="0" w:right="0"/>
        <w:jc w:val="both"/>
        <w:rPr>
          <w:rFonts w:ascii="Verdana" w:hAnsi="Verdana" w:eastAsia="Times New Roman" w:cs="Arial"/>
          <w:b w:val="false"/>
          <w:bCs w:val="false"/>
          <w:color w:val="000000"/>
          <w:sz w:val="20"/>
          <w:szCs w:val="20"/>
          <w:u w:val="none"/>
        </w:rPr>
      </w:pPr>
      <w:r>
        <w:rPr>
          <w:rFonts w:eastAsia="Times New Roman" w:cs="Arial" w:ascii="Verdana" w:hAnsi="Verdana"/>
          <w:b w:val="false"/>
          <w:bCs w:val="false"/>
          <w:color w:val="000000"/>
          <w:sz w:val="20"/>
          <w:szCs w:val="20"/>
          <w:u w:val="none"/>
        </w:rPr>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jc w:val="right"/>
        <w:rPr>
          <w:sz w:val="20"/>
          <w:szCs w:val="20"/>
        </w:rPr>
      </w:pPr>
      <w:r>
        <w:rPr>
          <w:rFonts w:ascii="Verdana" w:hAnsi="Verdana"/>
          <w:sz w:val="20"/>
          <w:szCs w:val="20"/>
        </w:rPr>
        <w:t>São Gabriel da Palha, 08 de dezembro de 2025</w:t>
      </w:r>
    </w:p>
    <w:p>
      <w:pPr>
        <w:pStyle w:val="Normal"/>
        <w:spacing w:lineRule="auto" w:line="276" w:before="57" w:after="57"/>
        <w:ind w:hanging="0" w:left="0"/>
        <w:jc w:val="right"/>
        <w:rPr>
          <w:rFonts w:ascii="Verdana" w:hAnsi="Verdana" w:cs="Arial"/>
          <w:b/>
          <w:bCs/>
          <w:sz w:val="20"/>
          <w:szCs w:val="20"/>
        </w:rPr>
      </w:pPr>
      <w:r>
        <w:rPr>
          <w:rFonts w:cs="Arial" w:ascii="Verdana" w:hAnsi="Verdana"/>
          <w:b/>
          <w:bCs/>
          <w:sz w:val="20"/>
          <w:szCs w:val="20"/>
        </w:rPr>
      </w:r>
    </w:p>
    <w:p>
      <w:pPr>
        <w:pStyle w:val="Normal"/>
        <w:spacing w:lineRule="auto" w:line="276" w:before="57" w:after="57"/>
        <w:ind w:hanging="0" w:left="0"/>
        <w:jc w:val="both"/>
        <w:rPr>
          <w:rFonts w:ascii="Verdana" w:hAnsi="Verdana" w:cs="Arial"/>
          <w:b/>
          <w:bCs/>
          <w:sz w:val="20"/>
          <w:szCs w:val="20"/>
        </w:rPr>
      </w:pPr>
      <w:r>
        <w:rPr>
          <w:rFonts w:cs="Arial" w:ascii="Verdana" w:hAnsi="Verdana"/>
          <w:b/>
          <w:bCs/>
          <w:sz w:val="20"/>
          <w:szCs w:val="20"/>
        </w:rPr>
      </w:r>
    </w:p>
    <w:p>
      <w:pPr>
        <w:pStyle w:val="Normal"/>
        <w:spacing w:lineRule="auto" w:line="276" w:before="57" w:after="57"/>
        <w:ind w:hanging="0" w:left="0"/>
        <w:jc w:val="both"/>
        <w:rPr>
          <w:sz w:val="20"/>
          <w:szCs w:val="20"/>
        </w:rPr>
      </w:pPr>
      <w:r>
        <w:rPr>
          <w:rFonts w:cs="Arial" w:ascii="Verdana" w:hAnsi="Verdana"/>
          <w:b/>
          <w:bCs/>
          <w:sz w:val="20"/>
          <w:szCs w:val="20"/>
        </w:rPr>
        <w:t>Elaborado por:</w:t>
      </w:r>
    </w:p>
    <w:p>
      <w:pPr>
        <w:pStyle w:val="Normal"/>
        <w:spacing w:lineRule="auto" w:line="276" w:before="57" w:after="57"/>
        <w:ind w:hanging="0" w:lef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Pr>
          <w:sz w:val="20"/>
          <w:szCs w:val="20"/>
        </w:rPr>
      </w:pPr>
      <w:r>
        <w:rPr>
          <w:rFonts w:ascii="Verdana" w:hAnsi="Verdana"/>
          <w:sz w:val="20"/>
          <w:szCs w:val="20"/>
          <w:shd w:fill="auto" w:val="clear"/>
        </w:rPr>
        <w:t>RODOLFO ANTÔNIO DA SILVA NETO</w:t>
      </w:r>
    </w:p>
    <w:p>
      <w:pPr>
        <w:pStyle w:val="Normal"/>
        <w:spacing w:lineRule="auto" w:line="276" w:before="57" w:after="57"/>
        <w:ind w:hanging="0" w:left="0"/>
        <w:rPr>
          <w:sz w:val="20"/>
          <w:szCs w:val="20"/>
        </w:rPr>
      </w:pPr>
      <w:r>
        <w:rPr>
          <w:rFonts w:ascii="Verdana" w:hAnsi="Verdana"/>
          <w:sz w:val="20"/>
          <w:szCs w:val="20"/>
          <w:shd w:fill="auto" w:val="clear"/>
        </w:rPr>
        <w:t>Agente de Serviços Técnicos – Portaria n° 9.965/2025</w:t>
      </w:r>
    </w:p>
    <w:p>
      <w:pPr>
        <w:pStyle w:val="Normal"/>
        <w:spacing w:lineRule="auto" w:line="276" w:before="57" w:after="57"/>
        <w:ind w:hanging="0" w:left="0"/>
        <w:jc w:val="both"/>
        <w:rPr>
          <w:sz w:val="20"/>
          <w:szCs w:val="20"/>
        </w:rPr>
      </w:pPr>
      <w:r>
        <w:rPr>
          <w:rFonts w:cs="Arial" w:ascii="Verdana" w:hAnsi="Verdana"/>
          <w:b w:val="false"/>
          <w:bCs w:val="false"/>
          <w:sz w:val="20"/>
          <w:szCs w:val="20"/>
          <w:shd w:fill="auto" w:val="clear"/>
        </w:rPr>
        <w:t>Mat. nº 000406</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sz w:val="20"/>
          <w:szCs w:val="20"/>
        </w:rPr>
      </w:pPr>
      <w:r>
        <w:rPr>
          <w:rFonts w:cs="Arial" w:ascii="Verdana" w:hAnsi="Verdana"/>
          <w:b w:val="false"/>
          <w:bCs w:val="false"/>
          <w:sz w:val="20"/>
          <w:szCs w:val="20"/>
        </w:rPr>
        <w:t>RUTH BARBARA DA SILWA NASCIMENTO</w:t>
      </w:r>
    </w:p>
    <w:p>
      <w:pPr>
        <w:pStyle w:val="Normal"/>
        <w:spacing w:lineRule="auto" w:line="276" w:before="57" w:after="57"/>
        <w:ind w:hanging="0" w:left="0"/>
        <w:jc w:val="both"/>
        <w:rPr>
          <w:sz w:val="20"/>
          <w:szCs w:val="20"/>
        </w:rPr>
      </w:pPr>
      <w:r>
        <w:rPr>
          <w:rFonts w:cs="Arial" w:ascii="Verdana" w:hAnsi="Verdana"/>
          <w:b w:val="false"/>
          <w:bCs w:val="false"/>
          <w:sz w:val="20"/>
          <w:szCs w:val="20"/>
        </w:rPr>
        <w:t>Agente de Serviços Técnicos - Decreto n° 4.816/2025.</w:t>
      </w:r>
    </w:p>
    <w:p>
      <w:pPr>
        <w:pStyle w:val="Normal"/>
        <w:spacing w:lineRule="auto" w:line="276" w:before="57" w:after="57"/>
        <w:ind w:hanging="0" w:left="0"/>
        <w:jc w:val="both"/>
        <w:rPr>
          <w:sz w:val="20"/>
          <w:szCs w:val="20"/>
        </w:rPr>
      </w:pPr>
      <w:r>
        <w:rPr>
          <w:rFonts w:cs="Arial" w:ascii="Verdana" w:hAnsi="Verdana"/>
          <w:b w:val="false"/>
          <w:bCs w:val="false"/>
          <w:sz w:val="20"/>
          <w:szCs w:val="20"/>
        </w:rPr>
        <w:t>Mat. nº 002983</w:t>
      </w:r>
      <w:bookmarkStart w:id="13" w:name="_GoBack31121_Copia_1"/>
      <w:bookmarkStart w:id="14" w:name="_GoBack311211_Copia_1"/>
      <w:bookmarkStart w:id="15" w:name="art122%252525252525252525252525252525252"/>
      <w:bookmarkStart w:id="16" w:name="art122%252525252525252525252525252525251"/>
      <w:bookmarkStart w:id="17" w:name="art122%252525252525252525252525252525253"/>
      <w:bookmarkStart w:id="18" w:name="art122%252525252525252525252525252525254"/>
      <w:bookmarkStart w:id="19" w:name="art122%252525252525252525252525252525255"/>
      <w:bookmarkStart w:id="20" w:name="art122%252525252525252525252525252525256"/>
      <w:bookmarkStart w:id="21" w:name="_GoBack11_Copia_1"/>
      <w:bookmarkStart w:id="22" w:name="_GoBack2_Copia_1"/>
      <w:bookmarkStart w:id="23" w:name="art122%252525252525252525252525252525257"/>
      <w:bookmarkStart w:id="24" w:name="_GoBack11_Copia_1_Copia_1"/>
      <w:bookmarkStart w:id="25" w:name="_GoBack1_Copia_1_Copia_1"/>
      <w:bookmarkStart w:id="26" w:name="_GoBack_Copia_1_Copia_1"/>
      <w:bookmarkStart w:id="27" w:name="art122%252525252525252525252525252525258"/>
      <w:bookmarkEnd w:id="0"/>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517" w:right="905" w:gutter="0" w:header="227" w:top="851" w:footer="318" w:bottom="878"/>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sz w:val="12"/>
        <w:szCs w:val="12"/>
      </w:rPr>
    </w:pPr>
    <w:r>
      <w:rPr>
        <w:sz w:val="12"/>
        <w:szCs w:val="12"/>
      </w:rPr>
    </w:r>
  </w:p>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sz w:val="12"/>
        <w:szCs w:val="12"/>
      </w:rPr>
    </w:pPr>
    <w:r>
      <w:rPr>
        <w:sz w:val="12"/>
        <w:szCs w:val="12"/>
      </w:rPr>
    </w:r>
  </w:p>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5"/>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InternetLink">
    <w:name w:val="Internet 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1">
    <w:name w:val="caption1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2">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ivel2-Opcional">
    <w:name w:val="Nivel 2-Opcional"/>
    <w:basedOn w:val="Normal"/>
    <w:qFormat/>
    <w:pPr>
      <w:numPr>
        <w:ilvl w:val="1"/>
        <w:numId w:val="2"/>
      </w:numPr>
      <w:shd w:val="clear" w:color="auto" w:fill="76923C" w:themeFill="accent3" w:themeFillShade="bf"/>
      <w:spacing w:lineRule="auto" w:line="276" w:before="120" w:after="120"/>
      <w:ind w:hanging="0" w:left="0"/>
      <w:jc w:val="both"/>
    </w:pPr>
    <w:rPr>
      <w:rFonts w:ascii="Arial" w:hAnsi="Arial" w:eastAsia="Arial" w:cs="Arial"/>
      <w:i/>
      <w:color w:val="FF0000"/>
      <w:sz w:val="20"/>
      <w:szCs w:val="20"/>
    </w:rPr>
  </w:style>
  <w:style w:type="paragraph" w:styleId="Nvel02">
    <w:name w:val="Nível 02"/>
    <w:basedOn w:val="Nivel2-Opcional"/>
    <w:qFormat/>
    <w:pPr>
      <w:shd w:val="clear" w:color="auto" w:fill="auto"/>
    </w:pPr>
    <w:rPr>
      <w:i w:val="false"/>
      <w:iCs/>
      <w:color w:val="auto"/>
    </w:rPr>
  </w:style>
  <w:style w:type="paragraph" w:styleId="normal3">
    <w:name w:val="normal3"/>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932</TotalTime>
  <Application>LibreOffice/24.2.6.2$Windows_X86_64 LibreOffice_project/ef66aa7e36a1bb8e65bfbc63aba53045a14d0871</Application>
  <AppVersion>15.0000</AppVersion>
  <Pages>20</Pages>
  <Words>6876</Words>
  <Characters>39674</Characters>
  <CharactersWithSpaces>46217</CharactersWithSpaces>
  <Paragraphs>409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2025-12-24T10:52:56Z</cp:lastPrinted>
  <dcterms:modified xsi:type="dcterms:W3CDTF">2025-12-24T10:52:59Z</dcterms:modified>
  <cp:revision>177</cp:revision>
  <dc:subject/>
  <dc:title/>
</cp:coreProperties>
</file>

<file path=docProps/custom.xml><?xml version="1.0" encoding="utf-8"?>
<Properties xmlns="http://schemas.openxmlformats.org/officeDocument/2006/custom-properties" xmlns:vt="http://schemas.openxmlformats.org/officeDocument/2006/docPropsVTypes"/>
</file>